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1998">
      <w:pPr>
        <w:keepNext w:val="0"/>
        <w:keepLines w:val="0"/>
        <w:pageBreakBefore w:val="0"/>
        <w:kinsoku/>
        <w:wordWrap/>
        <w:overflowPunct/>
        <w:topLinePunct w:val="0"/>
        <w:autoSpaceDE/>
        <w:autoSpaceDN/>
        <w:bidi w:val="0"/>
        <w:adjustRightInd/>
        <w:snapToGrid/>
        <w:spacing w:line="440" w:lineRule="exact"/>
        <w:jc w:val="center"/>
        <w:rPr>
          <w:rFonts w:hint="default" w:ascii="方正仿宋_GBK" w:hAnsi="方正仿宋_GBK" w:eastAsia="方正仿宋_GBK" w:cs="方正仿宋_GBK"/>
          <w:sz w:val="32"/>
          <w:szCs w:val="32"/>
          <w:lang w:val="en-US" w:eastAsia="zh-CN"/>
        </w:rPr>
      </w:pPr>
      <w:r>
        <w:rPr>
          <w:rFonts w:hint="eastAsia" w:ascii="黑体" w:hAnsi="黑体" w:eastAsia="黑体" w:cs="黑体"/>
          <w:sz w:val="36"/>
          <w:szCs w:val="36"/>
          <w:lang w:val="en-US" w:eastAsia="zh-CN"/>
        </w:rPr>
        <w:t>惠州市实验中学五一劳动节慰问品采购需求</w:t>
      </w:r>
      <w:bookmarkStart w:id="0" w:name="_GoBack"/>
      <w:bookmarkEnd w:id="0"/>
    </w:p>
    <w:p w14:paraId="6C323192">
      <w:pPr>
        <w:keepNext w:val="0"/>
        <w:keepLines w:val="0"/>
        <w:pageBreakBefore w:val="0"/>
        <w:kinsoku/>
        <w:wordWrap/>
        <w:overflowPunct/>
        <w:topLinePunct w:val="0"/>
        <w:autoSpaceDE/>
        <w:autoSpaceDN/>
        <w:bidi w:val="0"/>
        <w:adjustRightInd/>
        <w:snapToGrid/>
        <w:spacing w:line="440" w:lineRule="exact"/>
        <w:jc w:val="left"/>
        <w:rPr>
          <w:rFonts w:hint="default" w:ascii="方正仿宋_GBK" w:hAnsi="方正仿宋_GBK" w:eastAsia="方正仿宋_GBK" w:cs="方正仿宋_GBK"/>
          <w:sz w:val="32"/>
          <w:szCs w:val="32"/>
          <w:lang w:val="en-US" w:eastAsia="zh-CN"/>
        </w:rPr>
      </w:pPr>
    </w:p>
    <w:p w14:paraId="2972A474">
      <w:pPr>
        <w:keepNext w:val="0"/>
        <w:keepLines w:val="0"/>
        <w:pageBreakBefore w:val="0"/>
        <w:kinsoku/>
        <w:wordWrap/>
        <w:overflowPunct/>
        <w:topLinePunct w:val="0"/>
        <w:autoSpaceDE/>
        <w:autoSpaceDN/>
        <w:bidi w:val="0"/>
        <w:adjustRightInd/>
        <w:snapToGrid/>
        <w:spacing w:line="440" w:lineRule="exact"/>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一、采购需求</w:t>
      </w:r>
    </w:p>
    <w:p w14:paraId="1979FECF">
      <w:pPr>
        <w:keepNext w:val="0"/>
        <w:keepLines w:val="0"/>
        <w:pageBreakBefore w:val="0"/>
        <w:kinsoku/>
        <w:wordWrap/>
        <w:overflowPunct/>
        <w:topLinePunct w:val="0"/>
        <w:autoSpaceDE/>
        <w:autoSpaceDN/>
        <w:bidi w:val="0"/>
        <w:adjustRightInd/>
        <w:snapToGrid/>
        <w:spacing w:line="360" w:lineRule="auto"/>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1.项目名称：2025年五一劳动节慰问品采购项目</w:t>
      </w:r>
    </w:p>
    <w:p w14:paraId="1B36AF63">
      <w:pPr>
        <w:keepNext w:val="0"/>
        <w:keepLines w:val="0"/>
        <w:pageBreakBefore w:val="0"/>
        <w:kinsoku/>
        <w:wordWrap/>
        <w:overflowPunct/>
        <w:topLinePunct w:val="0"/>
        <w:autoSpaceDE/>
        <w:autoSpaceDN/>
        <w:bidi w:val="0"/>
        <w:adjustRightInd/>
        <w:snapToGrid/>
        <w:spacing w:line="360" w:lineRule="auto"/>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2.采购数量与金额</w:t>
      </w:r>
    </w:p>
    <w:tbl>
      <w:tblPr>
        <w:tblStyle w:val="2"/>
        <w:tblW w:w="8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451"/>
        <w:gridCol w:w="1856"/>
        <w:gridCol w:w="1594"/>
        <w:gridCol w:w="1725"/>
      </w:tblGrid>
      <w:tr w14:paraId="2E39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30" w:type="dxa"/>
            <w:tcBorders>
              <w:top w:val="single" w:color="000000" w:sz="4" w:space="0"/>
              <w:left w:val="single" w:color="000000" w:sz="4" w:space="0"/>
              <w:bottom w:val="single" w:color="000000" w:sz="4" w:space="0"/>
              <w:right w:val="single" w:color="000000" w:sz="4" w:space="0"/>
            </w:tcBorders>
            <w:noWrap/>
            <w:vAlign w:val="center"/>
          </w:tcPr>
          <w:p w14:paraId="0485A5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项目内容</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F32F0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noWrap/>
            <w:vAlign w:val="center"/>
          </w:tcPr>
          <w:p w14:paraId="1D7226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预计数量</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32B7D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单价（元）</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0C807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预计总价（元）</w:t>
            </w:r>
          </w:p>
        </w:tc>
      </w:tr>
      <w:tr w14:paraId="21E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F362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2025年五一劳动节慰问品采购项目</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52072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份</w:t>
            </w:r>
          </w:p>
        </w:tc>
        <w:tc>
          <w:tcPr>
            <w:tcW w:w="1856" w:type="dxa"/>
            <w:tcBorders>
              <w:top w:val="single" w:color="000000" w:sz="4" w:space="0"/>
              <w:left w:val="single" w:color="000000" w:sz="4" w:space="0"/>
              <w:bottom w:val="single" w:color="000000" w:sz="4" w:space="0"/>
              <w:right w:val="single" w:color="000000" w:sz="4" w:space="0"/>
            </w:tcBorders>
            <w:noWrap/>
            <w:vAlign w:val="center"/>
          </w:tcPr>
          <w:p w14:paraId="1EE7C7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384</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FED14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450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3003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17</w:t>
            </w:r>
            <w:r>
              <w:rPr>
                <w:rFonts w:hint="eastAsia" w:ascii="宋体" w:hAnsi="宋体" w:cs="宋体"/>
                <w:b/>
                <w:bCs/>
                <w:i w:val="0"/>
                <w:iCs w:val="0"/>
                <w:color w:val="000000"/>
                <w:kern w:val="0"/>
                <w:sz w:val="24"/>
                <w:szCs w:val="24"/>
                <w:u w:val="none"/>
                <w:lang w:val="en-US" w:eastAsia="zh-CN" w:bidi="ar"/>
              </w:rPr>
              <w:t>2800</w:t>
            </w:r>
          </w:p>
        </w:tc>
      </w:tr>
      <w:tr w14:paraId="3C58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30" w:type="dxa"/>
            <w:tcBorders>
              <w:top w:val="single" w:color="000000" w:sz="4" w:space="0"/>
              <w:left w:val="single" w:color="000000" w:sz="4" w:space="0"/>
              <w:bottom w:val="single" w:color="000000" w:sz="4" w:space="0"/>
              <w:right w:val="single" w:color="000000" w:sz="4" w:space="0"/>
            </w:tcBorders>
            <w:noWrap/>
            <w:vAlign w:val="center"/>
          </w:tcPr>
          <w:p w14:paraId="3A72D4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c>
          <w:tcPr>
            <w:tcW w:w="6626" w:type="dxa"/>
            <w:gridSpan w:val="4"/>
            <w:tcBorders>
              <w:top w:val="single" w:color="000000" w:sz="4" w:space="0"/>
              <w:left w:val="single" w:color="000000" w:sz="4" w:space="0"/>
              <w:bottom w:val="single" w:color="000000" w:sz="4" w:space="0"/>
              <w:right w:val="single" w:color="000000" w:sz="4" w:space="0"/>
            </w:tcBorders>
            <w:noWrap/>
            <w:vAlign w:val="center"/>
          </w:tcPr>
          <w:p w14:paraId="1DC8E5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结算金额以最终实际会员人数和金额为准</w:t>
            </w:r>
          </w:p>
        </w:tc>
      </w:tr>
    </w:tbl>
    <w:p w14:paraId="0284ADC0">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2.参与响应供应商须提供≥3个套餐供采购人选择，每个套餐须符合下列要求：</w:t>
      </w:r>
    </w:p>
    <w:p w14:paraId="13AFD6B1">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default" w:ascii="仿宋" w:hAnsi="仿宋" w:eastAsia="仿宋" w:cs="仿宋"/>
          <w:b w:val="0"/>
          <w:bCs w:val="0"/>
          <w:sz w:val="28"/>
          <w:szCs w:val="28"/>
          <w:highlight w:val="none"/>
          <w:lang w:val="en-US" w:eastAsia="zh-CN"/>
        </w:rPr>
        <w:t>★</w:t>
      </w:r>
      <w:r>
        <w:rPr>
          <w:rFonts w:hint="eastAsia" w:ascii="方正仿宋_GBK" w:hAnsi="方正仿宋_GBK" w:eastAsia="方正仿宋_GBK" w:cs="方正仿宋_GBK"/>
          <w:sz w:val="32"/>
          <w:szCs w:val="32"/>
          <w:lang w:val="en-US" w:eastAsia="zh-CN"/>
        </w:rPr>
        <w:t>（1）832平台：干货类商品，预算约160元/份。</w:t>
      </w:r>
    </w:p>
    <w:p w14:paraId="4AE7EBCF">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（2）线下：米、花生油及生活类商品，预算约290元/份。</w:t>
      </w:r>
    </w:p>
    <w:p w14:paraId="27E94038">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3.便于保存与使用，在食品保质期内的农副产品。</w:t>
      </w:r>
    </w:p>
    <w:p w14:paraId="40E660AA">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default" w:ascii="仿宋" w:hAnsi="仿宋" w:eastAsia="仿宋" w:cs="仿宋"/>
          <w:b w:val="0"/>
          <w:bCs w:val="0"/>
          <w:sz w:val="28"/>
          <w:szCs w:val="28"/>
          <w:highlight w:val="none"/>
          <w:lang w:val="en-US" w:eastAsia="zh-CN"/>
        </w:rPr>
        <w:t>★</w:t>
      </w:r>
      <w:r>
        <w:rPr>
          <w:rFonts w:hint="eastAsia" w:ascii="方正仿宋_GBK" w:hAnsi="方正仿宋_GBK" w:eastAsia="方正仿宋_GBK" w:cs="方正仿宋_GBK"/>
          <w:sz w:val="32"/>
          <w:szCs w:val="32"/>
          <w:lang w:val="en-US" w:eastAsia="zh-CN"/>
        </w:rPr>
        <w:t>4.配送时间：如所提供的配送方案被选中需要在五一劳动节前按校方要求免费配送并分发到两校区。</w:t>
      </w:r>
    </w:p>
    <w:p w14:paraId="1F206544">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5.其他要求：</w:t>
      </w:r>
    </w:p>
    <w:p w14:paraId="4F8E42D3">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（1）832平台采购：所有通过832平台采购的商品必须符合国家相关质量标准，且为干货类产品。</w:t>
      </w:r>
    </w:p>
    <w:p w14:paraId="5C04D9A0">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（2）线下采购：线下产品以米、油及生活类商品为主，需确保产品质量可靠，品牌知名度高，并具备完整的售后服务保障。</w:t>
      </w:r>
    </w:p>
    <w:p w14:paraId="7EBCE6FA">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（3）供应商资质：</w:t>
      </w:r>
    </w:p>
    <w:p w14:paraId="53971C44">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①参与响应的供应商需提供有效的营业执照（提供有效的营业执照副本复印件）；</w:t>
      </w:r>
    </w:p>
    <w:p w14:paraId="72E6B1A1">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②参与响应的供应商需提供《食品经营许可证》或备案表(如涉及食品类慰问品)。（须提供有效的证书复印件或其他证明材料并加盖公章）；</w:t>
      </w:r>
    </w:p>
    <w:p w14:paraId="40E2448E">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③参与响应的供应商需提供法定代表人证明书（原件）和法定代表人身份证（复印件并加盖公章）；</w:t>
      </w:r>
    </w:p>
    <w:p w14:paraId="082B591C">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④参与响应的供应商需提供如法定代表人委托他人办理，还需提供法定代表人授权委托书（原件）及被授权代表的身份证（复印件并加盖公章）；</w:t>
      </w:r>
    </w:p>
    <w:p w14:paraId="26F28F91">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⑤参与响应的供应商需提供近三年无重大违法记录的承诺函或信用查询截图（承诺函格式自拟）；</w:t>
      </w:r>
    </w:p>
    <w:p w14:paraId="611A93B3">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⑥参与响应的供应商需提供依法缴纳税收和社保的承诺函或证明材料。（承诺函格式自拟）。</w:t>
      </w:r>
    </w:p>
    <w:p w14:paraId="3CA0EDB8">
      <w:pPr>
        <w:keepNext w:val="0"/>
        <w:keepLines w:val="0"/>
        <w:pageBreakBefore w:val="0"/>
        <w:kinsoku/>
        <w:wordWrap/>
        <w:overflowPunct/>
        <w:topLinePunct w:val="0"/>
        <w:autoSpaceDE/>
        <w:autoSpaceDN/>
        <w:bidi w:val="0"/>
        <w:adjustRightInd/>
        <w:snapToGrid/>
        <w:spacing w:line="440" w:lineRule="atLeas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（4）参与响应的供应商需提供资料真实性承诺</w:t>
      </w:r>
      <w:r>
        <w:rPr>
          <w:rFonts w:hint="eastAsia" w:ascii="仿宋" w:hAnsi="仿宋" w:eastAsia="仿宋" w:cs="仿宋"/>
          <w:sz w:val="32"/>
          <w:szCs w:val="32"/>
          <w:lang w:val="en-US" w:eastAsia="zh-CN"/>
        </w:rPr>
        <w:t>函（承诺函格式自拟）</w:t>
      </w:r>
      <w:r>
        <w:rPr>
          <w:rFonts w:hint="eastAsia" w:ascii="方正仿宋_GBK" w:hAnsi="方正仿宋_GBK" w:eastAsia="方正仿宋_GBK" w:cs="方正仿宋_GBK"/>
          <w:sz w:val="32"/>
          <w:szCs w:val="32"/>
          <w:lang w:val="en-US" w:eastAsia="zh-CN"/>
        </w:rPr>
        <w:t>。</w:t>
      </w:r>
    </w:p>
    <w:p w14:paraId="59401F38">
      <w:pPr>
        <w:keepNext w:val="0"/>
        <w:keepLines w:val="0"/>
        <w:pageBreakBefore w:val="0"/>
        <w:kinsoku/>
        <w:wordWrap/>
        <w:overflowPunct/>
        <w:topLinePunct w:val="0"/>
        <w:autoSpaceDE/>
        <w:autoSpaceDN/>
        <w:bidi w:val="0"/>
        <w:adjustRightInd/>
        <w:snapToGrid/>
        <w:spacing w:line="440" w:lineRule="exact"/>
        <w:jc w:val="left"/>
        <w:rPr>
          <w:rFonts w:hint="eastAsia" w:ascii="黑体" w:hAnsi="黑体" w:eastAsia="黑体" w:cs="黑体"/>
          <w:b/>
          <w:bCs/>
          <w:sz w:val="32"/>
          <w:szCs w:val="32"/>
          <w:lang w:val="en-US" w:eastAsia="zh-CN"/>
        </w:rPr>
      </w:pPr>
    </w:p>
    <w:p w14:paraId="389FAA2D">
      <w:pPr>
        <w:keepNext w:val="0"/>
        <w:keepLines w:val="0"/>
        <w:pageBreakBefore w:val="0"/>
        <w:kinsoku/>
        <w:wordWrap/>
        <w:overflowPunct/>
        <w:topLinePunct w:val="0"/>
        <w:autoSpaceDE/>
        <w:autoSpaceDN/>
        <w:bidi w:val="0"/>
        <w:adjustRightInd/>
        <w:snapToGrid/>
        <w:spacing w:line="4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二、评审原则：</w:t>
      </w:r>
    </w:p>
    <w:p w14:paraId="437474F8">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1.农副产品必须新鲜，包装完好，保质期不少于半年（提供有效证明）。</w:t>
      </w:r>
    </w:p>
    <w:p w14:paraId="2B903B3C">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2.评分标准：</w:t>
      </w:r>
    </w:p>
    <w:p w14:paraId="3D0B3F51">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（见评分表）</w:t>
      </w:r>
    </w:p>
    <w:p w14:paraId="387EEA05">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p>
    <w:p w14:paraId="16DFC959">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备注说明：</w:t>
      </w:r>
    </w:p>
    <w:p w14:paraId="4D2D2C4D">
      <w:pPr>
        <w:keepNext w:val="0"/>
        <w:keepLines w:val="0"/>
        <w:pageBreakBefore w:val="0"/>
        <w:widowControl/>
        <w:kinsoku/>
        <w:wordWrap/>
        <w:overflowPunct/>
        <w:topLinePunct w:val="0"/>
        <w:autoSpaceDE/>
        <w:autoSpaceDN/>
        <w:bidi w:val="0"/>
        <w:adjustRightInd/>
        <w:snapToGrid/>
        <w:spacing w:line="240" w:lineRule="auto"/>
        <w:ind w:firstLine="320" w:firstLineChars="1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仿宋" w:hAnsi="仿宋" w:eastAsia="仿宋" w:cs="仿宋"/>
          <w:b w:val="0"/>
          <w:bCs w:val="0"/>
          <w:sz w:val="28"/>
          <w:szCs w:val="28"/>
          <w:highlight w:val="none"/>
          <w:lang w:val="en-US" w:eastAsia="zh-CN"/>
        </w:rPr>
        <w:t>★</w:t>
      </w:r>
      <w:r>
        <w:rPr>
          <w:rFonts w:hint="eastAsia" w:ascii="方正仿宋_GBK" w:hAnsi="方正仿宋_GBK" w:eastAsia="方正仿宋_GBK" w:cs="方正仿宋_GBK"/>
          <w:sz w:val="32"/>
          <w:szCs w:val="32"/>
          <w:lang w:val="en-US" w:eastAsia="zh-CN"/>
        </w:rPr>
        <w:t>号为必须响应条件，不满足将视为无效方案。提供承诺函，格式自拟。</w:t>
      </w:r>
    </w:p>
    <w:p w14:paraId="59728DBD">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2.解释权归校工会委员会。</w:t>
      </w:r>
    </w:p>
    <w:p w14:paraId="00660DF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CAB7B-82F1-4795-B7CE-C06F5889B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DC2F40-AB8D-4A0F-AEE8-301D3F2C0F2A}"/>
  </w:font>
  <w:font w:name="方正仿宋_GBK">
    <w:panose1 w:val="02000000000000000000"/>
    <w:charset w:val="86"/>
    <w:family w:val="auto"/>
    <w:pitch w:val="default"/>
    <w:sig w:usb0="A00002BF" w:usb1="38CF7CFA" w:usb2="00082016" w:usb3="00000000" w:csb0="00040001" w:csb1="00000000"/>
    <w:embedRegular r:id="rId3" w:fontKey="{A817C25A-4A27-4C31-A54E-A7D90C0E77C3}"/>
  </w:font>
  <w:font w:name="仿宋">
    <w:panose1 w:val="02010609060101010101"/>
    <w:charset w:val="86"/>
    <w:family w:val="auto"/>
    <w:pitch w:val="default"/>
    <w:sig w:usb0="800002BF" w:usb1="38CF7CFA" w:usb2="00000016" w:usb3="00000000" w:csb0="00040001" w:csb1="00000000"/>
    <w:embedRegular r:id="rId4" w:fontKey="{8C925F55-E88C-4608-B148-05DAF0BD87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6517D"/>
    <w:rsid w:val="2816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2025-04-11T08:51:00Z</dcterms:created>
  <dc:creator>高俊</dc:creator>
  <cp:lastModifiedBy>高俊</cp:lastModifiedBy>
  <dcterms:modified xsi:type="dcterms:W3CDTF">2025-04-11T08:59:03Z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44FB64CCB35E4ECE892B1BA7DFA7E3B7_11</vt:lpwstr>
  </property>
  <property fmtid="{D5CDD505-2E9C-101B-9397-08002B2CF9AE}" pid="4" name="KSOTemplateDocerSaveRecord">
    <vt:lpwstr>eyJoZGlkIjoiYzAxOWE5NjRiMGJjMDZkY2EzODk2YjFlMTI3ODAwMTIiLCJ1c2VySWQiOiI0ODM2MjAzNDMifQ==</vt:lpwstr>
  </property>
</Properties>
</file>