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CD157">
      <w:pPr>
        <w:pStyle w:val="4"/>
        <w:numPr>
          <w:ilvl w:val="0"/>
          <w:numId w:val="0"/>
        </w:numPr>
        <w:bidi w:val="0"/>
        <w:ind w:leftChars="175"/>
        <w:rPr>
          <w:rFonts w:hint="eastAsia" w:ascii="宋体" w:hAnsi="宋体" w:eastAsia="宋体" w:cs="宋体"/>
          <w:b w:val="0"/>
          <w:bCs w:val="0"/>
          <w:color w:val="auto"/>
          <w:sz w:val="22"/>
          <w:szCs w:val="22"/>
          <w:highlight w:val="none"/>
          <w:u w:val="none"/>
          <w:lang w:eastAsia="zh-CN"/>
        </w:rPr>
      </w:pPr>
      <w:r>
        <w:rPr>
          <w:rFonts w:hint="eastAsia" w:ascii="宋体" w:hAnsi="宋体" w:eastAsia="宋体" w:cs="宋体"/>
          <w:lang w:val="zh-CN" w:eastAsia="zh-CN"/>
        </w:rPr>
        <w:t>采购需求</w:t>
      </w:r>
      <w:r>
        <w:rPr>
          <w:rFonts w:hint="eastAsia" w:ascii="宋体" w:hAnsi="宋体" w:eastAsia="宋体" w:cs="宋体"/>
          <w:lang w:eastAsia="zh-CN"/>
        </w:rPr>
        <w:t>：</w:t>
      </w:r>
    </w:p>
    <w:p w14:paraId="6FA177CA">
      <w:pPr>
        <w:ind w:firstLine="422"/>
        <w:jc w:val="center"/>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商务要求：</w:t>
      </w:r>
    </w:p>
    <w:p w14:paraId="66DA31C9">
      <w:pPr>
        <w:ind w:firstLine="422"/>
        <w:rPr>
          <w:rFonts w:hint="default"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1.交货期：</w:t>
      </w:r>
    </w:p>
    <w:p w14:paraId="6F820B4B">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default"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(1)</w:t>
      </w:r>
      <w:r>
        <w:rPr>
          <w:rFonts w:hint="eastAsia" w:ascii="宋体" w:hAnsi="宋体" w:eastAsia="宋体" w:cs="宋体"/>
          <w:b w:val="0"/>
          <w:bCs w:val="0"/>
          <w:color w:val="auto"/>
          <w:sz w:val="22"/>
          <w:szCs w:val="22"/>
          <w:highlight w:val="none"/>
          <w:u w:val="none"/>
          <w:lang w:val="en-US" w:eastAsia="zh-CN"/>
        </w:rPr>
        <w:t>交货地点：惠州市实验中学</w:t>
      </w:r>
    </w:p>
    <w:p w14:paraId="23D3590D">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sz w:val="22"/>
          <w:szCs w:val="22"/>
          <w:highlight w:val="none"/>
          <w:u w:val="none"/>
          <w:lang w:val="en-US" w:eastAsia="zh-CN"/>
        </w:rPr>
        <w:t>交货时间：3月25日前完成本次采购所有货物的运输、安装、调试及验收。</w:t>
      </w:r>
    </w:p>
    <w:p w14:paraId="6D6EAFC3">
      <w:pPr>
        <w:ind w:firstLine="422"/>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2.报价要求：</w:t>
      </w:r>
    </w:p>
    <w:p w14:paraId="15E15BDB">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本项目投标报价应包括但不仅限于：货物、人工费、材料费、包装、运输（含二次运输）、装卸、安装调试、安装修复、人员培训、验收、检验、税收、保险、备品备件、专业工具、售后服务、质保期内维保等伴随的服务及实施过程中的不可预见费用等全部费用。</w:t>
      </w:r>
    </w:p>
    <w:p w14:paraId="11FC6103">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(2)中标人在报价中及项目实施过程中如有任何遗漏，均被视为遗漏部分价格已经包含在总价中（中标人自行负责），采购人不再支付任何费用。</w:t>
      </w:r>
    </w:p>
    <w:p w14:paraId="7AD5224E">
      <w:pPr>
        <w:ind w:firstLine="422"/>
        <w:rPr>
          <w:rFonts w:hint="default"/>
          <w:lang w:val="en-US" w:eastAsia="zh-CN"/>
        </w:rPr>
      </w:pPr>
      <w:r>
        <w:rPr>
          <w:rFonts w:hint="eastAsia" w:ascii="宋体" w:hAnsi="宋体" w:eastAsia="宋体" w:cs="宋体"/>
          <w:b w:val="0"/>
          <w:bCs w:val="0"/>
          <w:color w:val="auto"/>
          <w:sz w:val="22"/>
          <w:szCs w:val="22"/>
          <w:highlight w:val="none"/>
          <w:u w:val="none"/>
          <w:lang w:val="en-US" w:eastAsia="zh-CN"/>
        </w:rPr>
        <w:t>(3)投标人的报价不得高于对应采购包的项目预算金额（最高限价），否则为无效投标.</w:t>
      </w:r>
    </w:p>
    <w:p w14:paraId="58CB7018">
      <w:pPr>
        <w:ind w:firstLine="422"/>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3.供货要求：</w:t>
      </w:r>
    </w:p>
    <w:p w14:paraId="3E59A444">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所有基材、喷涂粉末、胶水、五金配件等符合采购文件要求，其技术要求应等同或优于采购文件所规定的技术要求，投标（报价）人应提供必要的证明文件以证明该产品的技术性能，可靠性、安全性及耐用性。如果采用的材料及配件不符合招标文件要求的，中标（成交）后采购人有权要求中标（成交）人按采购文件的要求选用材料及配件，但价格不予调整。</w:t>
      </w:r>
    </w:p>
    <w:p w14:paraId="240F8340">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(2)本项目供应商负责全部货物的采购、运输、安装、调试和售后服务及所有安装现场的收尾工作。</w:t>
      </w:r>
    </w:p>
    <w:p w14:paraId="376C4E6E">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(3)供应商所提供的合同所规定之货物应是全新的、未使用过的，其技术性能指标应符合货物制造商所规定之技术规格。</w:t>
      </w:r>
    </w:p>
    <w:p w14:paraId="41B2A64A">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(4)所有设备、器材在开箱时需完好，无破损。配置与装箱单相符。数量、质量不低于合同要求。</w:t>
      </w:r>
    </w:p>
    <w:p w14:paraId="53582E3D">
      <w:pPr>
        <w:ind w:firstLine="422"/>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拆箱后，供应商需对其全部产品、零件、配件、资料，并与装箱单对比，如有出入需立即书面记录，由供货商解决，如影响安装则按合同有关条款处理。登记册作为验收文档之一。</w:t>
      </w:r>
    </w:p>
    <w:p w14:paraId="394C79D3">
      <w:pPr>
        <w:numPr>
          <w:ilvl w:val="0"/>
          <w:numId w:val="0"/>
        </w:numPr>
        <w:ind w:firstLine="442" w:firstLineChars="200"/>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kern w:val="2"/>
          <w:sz w:val="22"/>
          <w:szCs w:val="22"/>
          <w:lang w:val="en-US" w:eastAsia="zh-CN" w:bidi="ar-SA"/>
        </w:rPr>
        <w:t>4.</w:t>
      </w:r>
      <w:r>
        <w:rPr>
          <w:rFonts w:hint="eastAsia" w:ascii="宋体" w:hAnsi="宋体" w:eastAsia="宋体" w:cs="宋体"/>
          <w:b/>
          <w:bCs/>
          <w:color w:val="auto"/>
          <w:sz w:val="22"/>
          <w:szCs w:val="22"/>
          <w:highlight w:val="none"/>
          <w:u w:val="none"/>
          <w:lang w:val="en-US" w:eastAsia="zh-CN"/>
        </w:rPr>
        <w:t>安装、调试要求</w:t>
      </w:r>
    </w:p>
    <w:p w14:paraId="593886F7">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kern w:val="2"/>
          <w:sz w:val="22"/>
          <w:szCs w:val="22"/>
          <w:lang w:val="en-US" w:eastAsia="zh-CN" w:bidi="ar-SA"/>
        </w:rPr>
        <w:t>(1)中标人应依照招标文件的要求和投标文件的承诺，将货物安装至正常使用的最佳状态。</w:t>
      </w:r>
    </w:p>
    <w:p w14:paraId="748A7281">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kern w:val="2"/>
          <w:sz w:val="22"/>
          <w:szCs w:val="22"/>
          <w:lang w:val="en-US" w:eastAsia="zh-CN" w:bidi="ar-SA"/>
        </w:rPr>
      </w:pPr>
      <w:r>
        <w:rPr>
          <w:rFonts w:hint="default"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kern w:val="2"/>
          <w:sz w:val="22"/>
          <w:szCs w:val="22"/>
          <w:lang w:val="en-US" w:eastAsia="zh-CN" w:bidi="ar-SA"/>
        </w:rPr>
        <w:t>货物安装期间及离场前，须保护好场地及各类设置，做好场地的卫生保洁工作，如造成损坏，须恢复原样或进行赔偿。</w:t>
      </w:r>
    </w:p>
    <w:p w14:paraId="3CF89C8A">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(3)</w:t>
      </w:r>
      <w:r>
        <w:rPr>
          <w:rFonts w:hint="eastAsia" w:ascii="宋体" w:hAnsi="宋体" w:eastAsia="宋体" w:cs="宋体"/>
          <w:b w:val="0"/>
          <w:bCs w:val="0"/>
          <w:color w:val="auto"/>
          <w:sz w:val="22"/>
          <w:szCs w:val="22"/>
          <w:highlight w:val="none"/>
          <w:u w:val="none"/>
          <w:lang w:val="en-US" w:eastAsia="zh-CN"/>
        </w:rPr>
        <w:t>安装调试验收按国家规定标准执行。货物若有国家标准按照国家标准验收，若无国家标准按行业标准验收，为原制造商制造的全新产品，无污染，无侵权行为、表面无划损、无任何缺陷隐患，在中国境内可依常规安全合法使用。</w:t>
      </w:r>
    </w:p>
    <w:p w14:paraId="29D83C1E">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(4)供应商所提供货物到达目的地后，采购人按供应商提供的货物清单及检验产品合格证、使用说明书（如有）负责开箱检验、检查货物及附件是否完整无损，是否与采购人的要求相符，如有损坏、缺件等情况，供应商应在5日内更换新产品，相应的费用及责任由供应商自行负担。同时，供应商应相应延长设备保修期。</w:t>
      </w:r>
    </w:p>
    <w:p w14:paraId="7824A041">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w:t>
      </w:r>
      <w:r>
        <w:rPr>
          <w:rFonts w:hint="eastAsia" w:ascii="宋体" w:hAnsi="宋体" w:eastAsia="宋体" w:cs="宋体"/>
          <w:b w:val="0"/>
          <w:bCs w:val="0"/>
          <w:color w:val="auto"/>
          <w:kern w:val="2"/>
          <w:sz w:val="22"/>
          <w:szCs w:val="22"/>
          <w:lang w:val="en-US" w:eastAsia="zh-CN" w:bidi="ar-SA"/>
        </w:rPr>
        <w:t>5</w:t>
      </w:r>
      <w:r>
        <w:rPr>
          <w:rFonts w:hint="default" w:ascii="宋体" w:hAnsi="宋体" w:eastAsia="宋体" w:cs="宋体"/>
          <w:b w:val="0"/>
          <w:bCs w:val="0"/>
          <w:color w:val="auto"/>
          <w:kern w:val="2"/>
          <w:sz w:val="22"/>
          <w:szCs w:val="22"/>
          <w:lang w:val="en-US" w:eastAsia="zh-CN" w:bidi="ar-SA"/>
        </w:rPr>
        <w:t>)</w:t>
      </w:r>
      <w:r>
        <w:rPr>
          <w:rFonts w:hint="eastAsia" w:ascii="宋体" w:hAnsi="宋体" w:eastAsia="宋体" w:cs="宋体"/>
          <w:b w:val="0"/>
          <w:bCs w:val="0"/>
          <w:color w:val="auto"/>
          <w:sz w:val="22"/>
          <w:szCs w:val="22"/>
          <w:highlight w:val="none"/>
          <w:u w:val="none"/>
          <w:lang w:val="en-US" w:eastAsia="zh-CN"/>
        </w:rPr>
        <w:t>设备运至采购人指定的使用现场的包装、保险及发运等环节和费用均由供应商负责。 安装所需工具设施物料由供应商自备、自费运到现场，完工后自费搬走。</w:t>
      </w:r>
    </w:p>
    <w:p w14:paraId="376EC24E">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p>
    <w:p w14:paraId="1AB7B23D">
      <w:pPr>
        <w:numPr>
          <w:ilvl w:val="0"/>
          <w:numId w:val="0"/>
        </w:numPr>
        <w:ind w:firstLine="442" w:firstLineChars="200"/>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kern w:val="2"/>
          <w:sz w:val="22"/>
          <w:szCs w:val="22"/>
          <w:lang w:val="en-US" w:eastAsia="zh-CN" w:bidi="ar-SA"/>
        </w:rPr>
        <w:t>5.</w:t>
      </w:r>
      <w:r>
        <w:rPr>
          <w:rFonts w:hint="eastAsia" w:ascii="宋体" w:hAnsi="宋体" w:eastAsia="宋体" w:cs="宋体"/>
          <w:b/>
          <w:bCs/>
          <w:color w:val="auto"/>
          <w:sz w:val="22"/>
          <w:szCs w:val="22"/>
          <w:highlight w:val="none"/>
          <w:u w:val="none"/>
          <w:lang w:val="en-US" w:eastAsia="zh-CN"/>
        </w:rPr>
        <w:t>验收方案</w:t>
      </w:r>
    </w:p>
    <w:p w14:paraId="4E137885">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(1)中标人必须保证货物符合国家、地方、行业相关强制标准及验收标准，并通过验收后，再移交采购人。</w:t>
      </w:r>
    </w:p>
    <w:p w14:paraId="0B57CC78">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中标人、采购人及相关单位和人员依照国家相关验收规范、招标文件及投标文件要求对全部货物、产品、型号、规格、数量、外型、外观、包装及资料、文件（如装箱单、保修单、随箱介质等）进行验收，包括但不限于以下工作内容：</w:t>
      </w:r>
    </w:p>
    <w:p w14:paraId="645203DA">
      <w:pPr>
        <w:keepNext w:val="0"/>
        <w:keepLines w:val="0"/>
        <w:pageBreakBefore w:val="0"/>
        <w:widowControl/>
        <w:numPr>
          <w:ilvl w:val="0"/>
          <w:numId w:val="0"/>
        </w:numPr>
        <w:kinsoku/>
        <w:wordWrap/>
        <w:overflowPunct/>
        <w:topLinePunct w:val="0"/>
        <w:autoSpaceDE/>
        <w:autoSpaceDN/>
        <w:bidi w:val="0"/>
        <w:adjustRightInd/>
        <w:snapToGrid w:val="0"/>
        <w:ind w:left="560" w:leftChars="200" w:firstLine="558" w:firstLineChars="254"/>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1)数量和规格核对：确认收到的货物数量及详细参数（包括但不限于规格、尺寸、材料、结构等）与清单参数一致。</w:t>
      </w:r>
    </w:p>
    <w:p w14:paraId="13DC7691">
      <w:pPr>
        <w:keepNext w:val="0"/>
        <w:keepLines w:val="0"/>
        <w:pageBreakBefore w:val="0"/>
        <w:widowControl/>
        <w:numPr>
          <w:ilvl w:val="0"/>
          <w:numId w:val="0"/>
        </w:numPr>
        <w:kinsoku/>
        <w:wordWrap/>
        <w:overflowPunct/>
        <w:topLinePunct w:val="0"/>
        <w:autoSpaceDE/>
        <w:autoSpaceDN/>
        <w:bidi w:val="0"/>
        <w:adjustRightInd/>
        <w:snapToGrid w:val="0"/>
        <w:ind w:left="560" w:leftChars="200" w:firstLine="558" w:firstLineChars="254"/>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2)外观检查：检查货物的外观是否有损坏、划痕、色差、鼓泡、污渍等缺陷。确保家具表面平整光滑，颜色、纹理一致，无明显瑕疵。</w:t>
      </w:r>
    </w:p>
    <w:p w14:paraId="3A7B857E">
      <w:pPr>
        <w:keepNext w:val="0"/>
        <w:keepLines w:val="0"/>
        <w:pageBreakBefore w:val="0"/>
        <w:widowControl/>
        <w:numPr>
          <w:ilvl w:val="0"/>
          <w:numId w:val="0"/>
        </w:numPr>
        <w:kinsoku/>
        <w:wordWrap/>
        <w:overflowPunct/>
        <w:topLinePunct w:val="0"/>
        <w:autoSpaceDE/>
        <w:autoSpaceDN/>
        <w:bidi w:val="0"/>
        <w:adjustRightInd/>
        <w:snapToGrid w:val="0"/>
        <w:ind w:left="560" w:leftChars="200" w:firstLine="558" w:firstLineChars="254"/>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3)功能检查：测试货物的功能性，如门的开关是否顺畅，五金件是否牢固，柜子的稳定性等。</w:t>
      </w:r>
    </w:p>
    <w:p w14:paraId="1D5AD0D0">
      <w:pPr>
        <w:keepNext w:val="0"/>
        <w:keepLines w:val="0"/>
        <w:pageBreakBefore w:val="0"/>
        <w:widowControl/>
        <w:numPr>
          <w:ilvl w:val="0"/>
          <w:numId w:val="0"/>
        </w:numPr>
        <w:kinsoku/>
        <w:wordWrap/>
        <w:overflowPunct/>
        <w:topLinePunct w:val="0"/>
        <w:autoSpaceDE/>
        <w:autoSpaceDN/>
        <w:bidi w:val="0"/>
        <w:adjustRightInd/>
        <w:snapToGrid w:val="0"/>
        <w:ind w:left="560" w:leftChars="200" w:firstLine="558" w:firstLineChars="254"/>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4)验收文件：确保所有相关的验收文件齐全，包括质量检验报告、产品合格证、环保证书、装箱单、保修单、随箱介质等。</w:t>
      </w:r>
    </w:p>
    <w:p w14:paraId="03471319">
      <w:pPr>
        <w:keepNext w:val="0"/>
        <w:keepLines w:val="0"/>
        <w:pageBreakBefore w:val="0"/>
        <w:widowControl/>
        <w:numPr>
          <w:ilvl w:val="0"/>
          <w:numId w:val="0"/>
        </w:numPr>
        <w:kinsoku/>
        <w:wordWrap/>
        <w:overflowPunct/>
        <w:topLinePunct w:val="0"/>
        <w:autoSpaceDE/>
        <w:autoSpaceDN/>
        <w:bidi w:val="0"/>
        <w:adjustRightInd/>
        <w:snapToGrid w:val="0"/>
        <w:ind w:left="560" w:leftChars="200" w:firstLine="558" w:firstLineChars="254"/>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5)验收过程记录：在验收过程中，应详细记录货物的验收情况，包括任何发现的问题和供应商的整改措施。</w:t>
      </w:r>
    </w:p>
    <w:p w14:paraId="4BF2626B">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(3)如货物验收时发现货物的质量指标或功能上不符合招标文件和合同要求时，将被视为不合格，采购人有权拒收或要求赔偿。</w:t>
      </w:r>
    </w:p>
    <w:p w14:paraId="4CCDB02E">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w:t>
      </w:r>
      <w:r>
        <w:rPr>
          <w:rFonts w:hint="eastAsia" w:ascii="宋体" w:hAnsi="宋体" w:eastAsia="宋体" w:cs="宋体"/>
          <w:b w:val="0"/>
          <w:bCs w:val="0"/>
          <w:color w:val="auto"/>
          <w:kern w:val="2"/>
          <w:sz w:val="22"/>
          <w:szCs w:val="22"/>
          <w:lang w:val="en-US" w:eastAsia="zh-CN" w:bidi="ar-SA"/>
        </w:rPr>
        <w:t>4</w:t>
      </w:r>
      <w:r>
        <w:rPr>
          <w:rFonts w:hint="default" w:ascii="宋体" w:hAnsi="宋体" w:eastAsia="宋体" w:cs="宋体"/>
          <w:b w:val="0"/>
          <w:bCs w:val="0"/>
          <w:color w:val="auto"/>
          <w:kern w:val="2"/>
          <w:sz w:val="22"/>
          <w:szCs w:val="22"/>
          <w:lang w:val="en-US" w:eastAsia="zh-CN" w:bidi="ar-SA"/>
        </w:rPr>
        <w:t>)</w:t>
      </w:r>
      <w:r>
        <w:rPr>
          <w:rFonts w:hint="eastAsia" w:ascii="宋体" w:hAnsi="宋体" w:eastAsia="宋体" w:cs="宋体"/>
          <w:b w:val="0"/>
          <w:bCs w:val="0"/>
          <w:color w:val="auto"/>
          <w:sz w:val="22"/>
          <w:szCs w:val="22"/>
          <w:highlight w:val="none"/>
          <w:u w:val="none"/>
          <w:lang w:val="en-US" w:eastAsia="zh-CN"/>
        </w:rPr>
        <w:t xml:space="preserve">采购人有权组成验收小组按国家有关规定、规范进行验收，必要时邀请相关的专业人员或机构参与验收。因货物质量问题发生争议时，由本地质量技术监督部门鉴定，货物符合质量技术标准的，鉴定费由采购人承担；否则鉴定费由供应商承担。 </w:t>
      </w:r>
    </w:p>
    <w:p w14:paraId="412182BC">
      <w:pPr>
        <w:ind w:firstLine="422"/>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5.保修期及售后服务要求:</w:t>
      </w:r>
    </w:p>
    <w:p w14:paraId="5AA5EDA6">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(1)</w:t>
      </w:r>
      <w:r>
        <w:rPr>
          <w:rFonts w:hint="eastAsia" w:ascii="宋体" w:hAnsi="宋体" w:eastAsia="宋体" w:cs="宋体"/>
          <w:b w:val="0"/>
          <w:bCs w:val="0"/>
          <w:color w:val="auto"/>
          <w:sz w:val="22"/>
          <w:szCs w:val="22"/>
          <w:highlight w:val="none"/>
          <w:u w:val="none"/>
          <w:lang w:val="en-US" w:eastAsia="zh-CN"/>
        </w:rPr>
        <w:t xml:space="preserve">供应商具有售后服务能力。 </w:t>
      </w:r>
    </w:p>
    <w:p w14:paraId="22A9EF5E">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sz w:val="22"/>
          <w:szCs w:val="22"/>
          <w:highlight w:val="none"/>
          <w:u w:val="none"/>
          <w:lang w:val="en-US" w:eastAsia="zh-CN"/>
        </w:rPr>
        <w:t>整体项目免费保修期为五年（保修期与厂家出具的质保书有冲突的或国家三包政策有要求的，选择最长的保修期限）。保修期自验收合格后交付使用之日起计算。保修期内，免费更换正常使用情况下损坏的零件及上门服务。</w:t>
      </w:r>
    </w:p>
    <w:p w14:paraId="309B0201">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default" w:ascii="宋体" w:hAnsi="宋体" w:eastAsia="宋体" w:cs="宋体"/>
          <w:b w:val="0"/>
          <w:bCs w:val="0"/>
          <w:color w:val="auto"/>
          <w:kern w:val="2"/>
          <w:sz w:val="22"/>
          <w:szCs w:val="22"/>
          <w:lang w:val="en-US" w:eastAsia="zh-CN" w:bidi="ar-SA"/>
        </w:rPr>
      </w:pPr>
      <w:r>
        <w:rPr>
          <w:rFonts w:hint="default" w:ascii="宋体" w:hAnsi="宋体" w:eastAsia="宋体" w:cs="宋体"/>
          <w:b w:val="0"/>
          <w:bCs w:val="0"/>
          <w:color w:val="auto"/>
          <w:kern w:val="2"/>
          <w:sz w:val="22"/>
          <w:szCs w:val="22"/>
          <w:lang w:val="en-US" w:eastAsia="zh-CN" w:bidi="ar-SA"/>
        </w:rPr>
        <w:t>(3)质保期内，如产品或零部件因非人为因素出现故障而造成短期停用时，应提供合格的同型号备用产品给采购人维持工作，质保期相应顺延；如停用时间累计超过60天则质保期重新计算。中标人两次维修仍不能达到合同约定的质量标准和厂家的质量标准，采购人有权退货，并依法追究中标人的违约责任。</w:t>
      </w:r>
    </w:p>
    <w:p w14:paraId="2508F07F">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(4)质保期内，中标人接到用户维修通知后24小时内到场处理，如果在24小时后仍无法解决，中标人应在24小时内提供不低于原货物规格型号档次的备用货物给采购人使用，直至原货物修复, 中标人负责所有因货物质量问题而产生的费用。</w:t>
      </w:r>
    </w:p>
    <w:p w14:paraId="6AD8E1AF">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default" w:ascii="宋体" w:hAnsi="宋体" w:eastAsia="宋体" w:cs="宋体"/>
          <w:b w:val="0"/>
          <w:bCs w:val="0"/>
          <w:color w:val="auto"/>
          <w:kern w:val="2"/>
          <w:sz w:val="22"/>
          <w:szCs w:val="22"/>
          <w:lang w:val="en-US" w:eastAsia="zh-CN" w:bidi="ar-SA"/>
        </w:rPr>
      </w:pPr>
      <w:r>
        <w:rPr>
          <w:rFonts w:hint="default" w:ascii="宋体" w:hAnsi="宋体" w:eastAsia="宋体" w:cs="宋体"/>
          <w:b w:val="0"/>
          <w:bCs w:val="0"/>
          <w:color w:val="auto"/>
          <w:kern w:val="2"/>
          <w:sz w:val="22"/>
          <w:szCs w:val="22"/>
          <w:lang w:val="en-US" w:eastAsia="zh-CN" w:bidi="ar-SA"/>
        </w:rPr>
        <w:t>(5)</w:t>
      </w:r>
      <w:r>
        <w:rPr>
          <w:rFonts w:hint="eastAsia" w:ascii="宋体" w:hAnsi="宋体" w:eastAsia="宋体" w:cs="宋体"/>
          <w:b w:val="0"/>
          <w:bCs w:val="0"/>
          <w:color w:val="auto"/>
          <w:sz w:val="22"/>
          <w:szCs w:val="22"/>
          <w:highlight w:val="none"/>
          <w:u w:val="none"/>
          <w:lang w:val="en-US" w:eastAsia="zh-CN"/>
        </w:rPr>
        <w:t>所有设备保修服务方式均为供应商或设备生产厂家上门保修，即由供应商或原厂家派员到采购人设备使用现场维修，由此产生的一切费用均由供应商或原厂家承担。</w:t>
      </w:r>
    </w:p>
    <w:p w14:paraId="54EC6904">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default" w:ascii="宋体" w:hAnsi="宋体" w:eastAsia="宋体" w:cs="宋体"/>
          <w:b w:val="0"/>
          <w:bCs w:val="0"/>
          <w:color w:val="auto"/>
          <w:kern w:val="2"/>
          <w:sz w:val="22"/>
          <w:szCs w:val="22"/>
          <w:lang w:val="en-US" w:eastAsia="zh-CN" w:bidi="ar-SA"/>
        </w:rPr>
        <w:t>(6)</w:t>
      </w:r>
      <w:r>
        <w:rPr>
          <w:rFonts w:hint="eastAsia" w:ascii="宋体" w:hAnsi="宋体" w:eastAsia="宋体" w:cs="宋体"/>
          <w:b w:val="0"/>
          <w:bCs w:val="0"/>
          <w:color w:val="auto"/>
          <w:sz w:val="22"/>
          <w:szCs w:val="22"/>
          <w:highlight w:val="none"/>
          <w:u w:val="none"/>
          <w:lang w:val="en-US" w:eastAsia="zh-CN"/>
        </w:rPr>
        <w:t>质保期内维修及零配件更换的一切费用由成交供应商负责，如果需要更换配件的，更换的配件跟被更换的品牌、类型相一致或者是同类更高档次的替代品，后者需征得采购人管理人员同意。</w:t>
      </w:r>
    </w:p>
    <w:p w14:paraId="1B926DF2">
      <w:pPr>
        <w:keepNext w:val="0"/>
        <w:keepLines w:val="0"/>
        <w:pageBreakBefore w:val="0"/>
        <w:widowControl/>
        <w:numPr>
          <w:ilvl w:val="0"/>
          <w:numId w:val="0"/>
        </w:numPr>
        <w:kinsoku/>
        <w:wordWrap/>
        <w:overflowPunct/>
        <w:topLinePunct w:val="0"/>
        <w:autoSpaceDE/>
        <w:autoSpaceDN/>
        <w:bidi w:val="0"/>
        <w:adjustRightInd/>
        <w:snapToGrid w:val="0"/>
        <w:jc w:val="center"/>
        <w:textAlignment w:val="baseline"/>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技术要求：</w:t>
      </w:r>
    </w:p>
    <w:tbl>
      <w:tblPr>
        <w:tblStyle w:val="6"/>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5"/>
        <w:gridCol w:w="916"/>
        <w:gridCol w:w="4182"/>
        <w:gridCol w:w="821"/>
        <w:gridCol w:w="615"/>
        <w:gridCol w:w="795"/>
        <w:gridCol w:w="2290"/>
      </w:tblGrid>
      <w:tr w14:paraId="7F60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0184F87">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序号</w:t>
            </w:r>
          </w:p>
        </w:tc>
        <w:tc>
          <w:tcPr>
            <w:tcW w:w="921" w:type="dxa"/>
            <w:gridSpan w:val="2"/>
            <w:vAlign w:val="center"/>
          </w:tcPr>
          <w:p w14:paraId="4F22E2F3">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baseline"/>
              <w:rPr>
                <w:rFonts w:hint="eastAsia" w:ascii="宋体" w:hAnsi="宋体" w:eastAsia="宋体" w:cs="宋体"/>
                <w:b w:val="0"/>
                <w:bCs w:val="0"/>
                <w:color w:val="auto"/>
                <w:kern w:val="2"/>
                <w:sz w:val="22"/>
                <w:szCs w:val="22"/>
                <w:highlight w:val="none"/>
                <w:u w:val="none"/>
                <w:lang w:val="en-US" w:eastAsia="zh-CN" w:bidi="ar-SA"/>
              </w:rPr>
            </w:pPr>
            <w:r>
              <w:rPr>
                <w:rFonts w:hint="eastAsia" w:ascii="宋体" w:hAnsi="宋体" w:eastAsia="宋体" w:cs="宋体"/>
                <w:b w:val="0"/>
                <w:bCs w:val="0"/>
                <w:color w:val="auto"/>
                <w:sz w:val="22"/>
                <w:szCs w:val="22"/>
                <w:highlight w:val="none"/>
                <w:u w:val="none"/>
                <w:lang w:val="en-US" w:eastAsia="zh-CN"/>
              </w:rPr>
              <w:t>货物名称</w:t>
            </w:r>
          </w:p>
        </w:tc>
        <w:tc>
          <w:tcPr>
            <w:tcW w:w="4182" w:type="dxa"/>
            <w:vAlign w:val="center"/>
          </w:tcPr>
          <w:p w14:paraId="1B2240F8">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技术参数</w:t>
            </w:r>
          </w:p>
        </w:tc>
        <w:tc>
          <w:tcPr>
            <w:tcW w:w="821" w:type="dxa"/>
            <w:vAlign w:val="center"/>
          </w:tcPr>
          <w:p w14:paraId="7A4FBAE4">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上限单价</w:t>
            </w:r>
          </w:p>
        </w:tc>
        <w:tc>
          <w:tcPr>
            <w:tcW w:w="615" w:type="dxa"/>
            <w:vAlign w:val="center"/>
          </w:tcPr>
          <w:p w14:paraId="777335AF">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单位</w:t>
            </w:r>
          </w:p>
        </w:tc>
        <w:tc>
          <w:tcPr>
            <w:tcW w:w="795" w:type="dxa"/>
            <w:vAlign w:val="center"/>
          </w:tcPr>
          <w:p w14:paraId="2DFF346D">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数量</w:t>
            </w:r>
          </w:p>
        </w:tc>
        <w:tc>
          <w:tcPr>
            <w:tcW w:w="2290" w:type="dxa"/>
            <w:vAlign w:val="center"/>
          </w:tcPr>
          <w:p w14:paraId="72C661F2">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参考图片</w:t>
            </w:r>
          </w:p>
        </w:tc>
      </w:tr>
      <w:tr w14:paraId="1D42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6" w:type="dxa"/>
            <w:vAlign w:val="center"/>
          </w:tcPr>
          <w:p w14:paraId="7C5F40A3">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w:t>
            </w:r>
          </w:p>
        </w:tc>
        <w:tc>
          <w:tcPr>
            <w:tcW w:w="921" w:type="dxa"/>
            <w:gridSpan w:val="2"/>
            <w:textDirection w:val="tbRlV"/>
            <w:vAlign w:val="center"/>
          </w:tcPr>
          <w:p w14:paraId="3900D909">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定制多层实木钢木办公桌</w:t>
            </w:r>
          </w:p>
        </w:tc>
        <w:tc>
          <w:tcPr>
            <w:tcW w:w="4182" w:type="dxa"/>
            <w:vAlign w:val="center"/>
          </w:tcPr>
          <w:p w14:paraId="0A48277A">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规格：1400*800*760H</w:t>
            </w:r>
          </w:p>
          <w:p w14:paraId="033C54FF">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1、优质25MM多层实木板基材。                        2、1.0厚胡桃木色防火板饰面，倒鸭嘴边。                           3、2.0厚钢制台架，精细打磨，氩弧焊无缝焊接，经防锈处理，高温喷涂烤漆，                          4、优质五金配件。配置可调节脚。</w:t>
            </w:r>
          </w:p>
        </w:tc>
        <w:tc>
          <w:tcPr>
            <w:tcW w:w="821" w:type="dxa"/>
            <w:vAlign w:val="center"/>
          </w:tcPr>
          <w:p w14:paraId="6131360D">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jc w:val="center"/>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965</w:t>
            </w:r>
          </w:p>
        </w:tc>
        <w:tc>
          <w:tcPr>
            <w:tcW w:w="615" w:type="dxa"/>
            <w:vAlign w:val="center"/>
          </w:tcPr>
          <w:p w14:paraId="688C6DD4">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张</w:t>
            </w:r>
          </w:p>
        </w:tc>
        <w:tc>
          <w:tcPr>
            <w:tcW w:w="795" w:type="dxa"/>
            <w:vAlign w:val="center"/>
          </w:tcPr>
          <w:p w14:paraId="3CA0DCA7">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61</w:t>
            </w:r>
          </w:p>
        </w:tc>
        <w:tc>
          <w:tcPr>
            <w:tcW w:w="2290" w:type="dxa"/>
            <w:vAlign w:val="center"/>
          </w:tcPr>
          <w:p w14:paraId="53C441A0">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eastAsia="方正仿宋_GB2312"/>
                <w:lang w:eastAsia="zh-CN"/>
              </w:rPr>
            </w:pPr>
            <w:r>
              <w:drawing>
                <wp:inline distT="0" distB="0" distL="114300" distR="114300">
                  <wp:extent cx="1340485" cy="1278255"/>
                  <wp:effectExtent l="0" t="0" r="12065" b="17145"/>
                  <wp:docPr id="28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 name="图片 3"/>
                          <pic:cNvPicPr>
                            <a:picLocks noChangeAspect="1"/>
                          </pic:cNvPicPr>
                        </pic:nvPicPr>
                        <pic:blipFill>
                          <a:blip r:embed="rId6"/>
                          <a:srcRect l="11330" t="14818" r="9341" b="5728"/>
                          <a:stretch>
                            <a:fillRect/>
                          </a:stretch>
                        </pic:blipFill>
                        <pic:spPr>
                          <a:xfrm>
                            <a:off x="0" y="0"/>
                            <a:ext cx="1340485" cy="1278255"/>
                          </a:xfrm>
                          <a:prstGeom prst="rect">
                            <a:avLst/>
                          </a:prstGeom>
                          <a:noFill/>
                          <a:ln w="9525">
                            <a:noFill/>
                          </a:ln>
                        </pic:spPr>
                      </pic:pic>
                    </a:graphicData>
                  </a:graphic>
                </wp:inline>
              </w:drawing>
            </w:r>
          </w:p>
          <w:p w14:paraId="461B2B75">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jc w:val="center"/>
              <w:textAlignment w:val="baseline"/>
              <w:rPr>
                <w:rFonts w:hint="eastAsia" w:ascii="宋体" w:hAnsi="宋体" w:eastAsia="宋体" w:cs="宋体"/>
                <w:b w:val="0"/>
                <w:bCs w:val="0"/>
                <w:color w:val="auto"/>
                <w:sz w:val="22"/>
                <w:szCs w:val="22"/>
                <w:highlight w:val="none"/>
                <w:u w:val="none"/>
                <w:lang w:val="en-US" w:eastAsia="zh-CN"/>
              </w:rPr>
            </w:pPr>
          </w:p>
        </w:tc>
      </w:tr>
      <w:tr w14:paraId="2179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right w:val="single" w:color="000000" w:sz="4" w:space="0"/>
            </w:tcBorders>
            <w:vAlign w:val="center"/>
          </w:tcPr>
          <w:p w14:paraId="3EACA6DB">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w:t>
            </w:r>
          </w:p>
        </w:tc>
        <w:tc>
          <w:tcPr>
            <w:tcW w:w="921" w:type="dxa"/>
            <w:gridSpan w:val="2"/>
            <w:tcBorders>
              <w:left w:val="single" w:color="000000" w:sz="4" w:space="0"/>
            </w:tcBorders>
            <w:vAlign w:val="center"/>
          </w:tcPr>
          <w:p w14:paraId="59903A12">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软座折叠办公椅</w:t>
            </w:r>
          </w:p>
        </w:tc>
        <w:tc>
          <w:tcPr>
            <w:tcW w:w="4182" w:type="dxa"/>
            <w:tcBorders>
              <w:right w:val="single" w:color="000000" w:sz="4" w:space="0"/>
            </w:tcBorders>
            <w:vAlign w:val="center"/>
          </w:tcPr>
          <w:p w14:paraId="6CCEC95D">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规格：460*580*900H</w:t>
            </w:r>
          </w:p>
          <w:p w14:paraId="505B2FED">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1、优质加厚科技布面料，优质高回弹定型海绵，</w:t>
            </w:r>
          </w:p>
          <w:p w14:paraId="77024268">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2、2.02厚钢制烤漆椅架，ABS加厚工程一体成型椅背，优质五金配件。具有折叠功能，带防滑胶垫。</w:t>
            </w:r>
          </w:p>
        </w:tc>
        <w:tc>
          <w:tcPr>
            <w:tcW w:w="821" w:type="dxa"/>
            <w:tcBorders>
              <w:left w:val="single" w:color="000000" w:sz="4" w:space="0"/>
              <w:right w:val="single" w:color="000000" w:sz="4" w:space="0"/>
            </w:tcBorders>
            <w:vAlign w:val="center"/>
          </w:tcPr>
          <w:p w14:paraId="61FC5769">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jc w:val="center"/>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690</w:t>
            </w:r>
          </w:p>
        </w:tc>
        <w:tc>
          <w:tcPr>
            <w:tcW w:w="615" w:type="dxa"/>
            <w:tcBorders>
              <w:left w:val="single" w:color="000000" w:sz="4" w:space="0"/>
              <w:right w:val="single" w:color="000000" w:sz="4" w:space="0"/>
            </w:tcBorders>
            <w:vAlign w:val="center"/>
          </w:tcPr>
          <w:p w14:paraId="381D3C84">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张</w:t>
            </w:r>
          </w:p>
        </w:tc>
        <w:tc>
          <w:tcPr>
            <w:tcW w:w="795" w:type="dxa"/>
            <w:tcBorders>
              <w:left w:val="single" w:color="000000" w:sz="4" w:space="0"/>
              <w:right w:val="single" w:color="000000" w:sz="4" w:space="0"/>
            </w:tcBorders>
            <w:vAlign w:val="center"/>
          </w:tcPr>
          <w:p w14:paraId="4E8D5598">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141</w:t>
            </w:r>
          </w:p>
        </w:tc>
        <w:tc>
          <w:tcPr>
            <w:tcW w:w="2290" w:type="dxa"/>
            <w:tcBorders>
              <w:left w:val="single" w:color="000000" w:sz="4" w:space="0"/>
            </w:tcBorders>
            <w:vAlign w:val="center"/>
          </w:tcPr>
          <w:p w14:paraId="50E83B85">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baseline"/>
              <w:rPr>
                <w:rFonts w:hint="eastAsia" w:ascii="宋体" w:hAnsi="宋体" w:eastAsia="宋体" w:cs="宋体"/>
                <w:sz w:val="22"/>
                <w:szCs w:val="22"/>
                <w:vertAlign w:val="baseline"/>
                <w:lang w:val="en-US" w:eastAsia="zh-CN"/>
              </w:rPr>
            </w:pPr>
            <w:r>
              <w:drawing>
                <wp:inline distT="0" distB="0" distL="114300" distR="114300">
                  <wp:extent cx="1336040" cy="1828165"/>
                  <wp:effectExtent l="0" t="0" r="16510" b="635"/>
                  <wp:docPr id="28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图片 2"/>
                          <pic:cNvPicPr>
                            <a:picLocks noChangeAspect="1"/>
                          </pic:cNvPicPr>
                        </pic:nvPicPr>
                        <pic:blipFill>
                          <a:blip r:embed="rId7"/>
                          <a:stretch>
                            <a:fillRect/>
                          </a:stretch>
                        </pic:blipFill>
                        <pic:spPr>
                          <a:xfrm>
                            <a:off x="0" y="0"/>
                            <a:ext cx="1336040" cy="1828165"/>
                          </a:xfrm>
                          <a:prstGeom prst="rect">
                            <a:avLst/>
                          </a:prstGeom>
                          <a:noFill/>
                          <a:ln w="9525">
                            <a:noFill/>
                          </a:ln>
                        </pic:spPr>
                      </pic:pic>
                    </a:graphicData>
                  </a:graphic>
                </wp:inline>
              </w:drawing>
            </w:r>
          </w:p>
        </w:tc>
      </w:tr>
      <w:tr w14:paraId="7653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gridSpan w:val="2"/>
            <w:tcBorders>
              <w:right w:val="single" w:color="000000" w:sz="4" w:space="0"/>
            </w:tcBorders>
            <w:vAlign w:val="center"/>
          </w:tcPr>
          <w:p w14:paraId="3A74CA22">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3</w:t>
            </w:r>
          </w:p>
        </w:tc>
        <w:tc>
          <w:tcPr>
            <w:tcW w:w="916" w:type="dxa"/>
            <w:tcBorders>
              <w:left w:val="single" w:color="000000" w:sz="4" w:space="0"/>
            </w:tcBorders>
            <w:vAlign w:val="center"/>
          </w:tcPr>
          <w:p w14:paraId="4A06EFCE">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定制多层实木茶水柜</w:t>
            </w:r>
          </w:p>
        </w:tc>
        <w:tc>
          <w:tcPr>
            <w:tcW w:w="4182" w:type="dxa"/>
            <w:tcBorders>
              <w:right w:val="single" w:color="000000" w:sz="4" w:space="0"/>
            </w:tcBorders>
            <w:vAlign w:val="center"/>
          </w:tcPr>
          <w:p w14:paraId="6E14832C">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1、规格：1000*400*820H</w:t>
            </w:r>
          </w:p>
          <w:p w14:paraId="04FB017E">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w:t>
            </w:r>
            <w:r>
              <w:rPr>
                <w:rFonts w:hint="default" w:ascii="宋体" w:hAnsi="宋体" w:eastAsia="宋体" w:cs="宋体"/>
                <w:b w:val="0"/>
                <w:bCs w:val="0"/>
                <w:color w:val="auto"/>
                <w:kern w:val="2"/>
                <w:sz w:val="20"/>
                <w:szCs w:val="20"/>
                <w:lang w:val="en-US" w:eastAsia="zh-CN" w:bidi="ar-SA"/>
              </w:rPr>
              <w:t>AAA级E1级环保多层实木板基材，0.6厚天然胡桃木皮饰面，华润牌国际免检耐磨环保油漆，经9道打磨工序，优质不锈钢五金配件，经抗氧化处理。</w:t>
            </w:r>
          </w:p>
        </w:tc>
        <w:tc>
          <w:tcPr>
            <w:tcW w:w="821" w:type="dxa"/>
            <w:tcBorders>
              <w:left w:val="single" w:color="000000" w:sz="4" w:space="0"/>
              <w:right w:val="single" w:color="000000" w:sz="4" w:space="0"/>
            </w:tcBorders>
            <w:vAlign w:val="center"/>
          </w:tcPr>
          <w:p w14:paraId="2AC13182">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jc w:val="center"/>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899</w:t>
            </w:r>
          </w:p>
        </w:tc>
        <w:tc>
          <w:tcPr>
            <w:tcW w:w="615" w:type="dxa"/>
            <w:tcBorders>
              <w:left w:val="single" w:color="000000" w:sz="4" w:space="0"/>
              <w:right w:val="single" w:color="000000" w:sz="4" w:space="0"/>
            </w:tcBorders>
            <w:vAlign w:val="center"/>
          </w:tcPr>
          <w:p w14:paraId="7CAC21AF">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个</w:t>
            </w:r>
          </w:p>
        </w:tc>
        <w:tc>
          <w:tcPr>
            <w:tcW w:w="795" w:type="dxa"/>
            <w:tcBorders>
              <w:left w:val="single" w:color="000000" w:sz="4" w:space="0"/>
              <w:right w:val="single" w:color="000000" w:sz="4" w:space="0"/>
            </w:tcBorders>
            <w:vAlign w:val="center"/>
          </w:tcPr>
          <w:p w14:paraId="24B8D5A6">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w:t>
            </w:r>
          </w:p>
        </w:tc>
        <w:tc>
          <w:tcPr>
            <w:tcW w:w="2290" w:type="dxa"/>
            <w:tcBorders>
              <w:left w:val="single" w:color="000000" w:sz="4" w:space="0"/>
            </w:tcBorders>
            <w:vAlign w:val="center"/>
          </w:tcPr>
          <w:p w14:paraId="1C5EEB97">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40" w:leftChars="50" w:right="140" w:rightChars="50"/>
              <w:jc w:val="left"/>
              <w:rPr>
                <w:rFonts w:hint="eastAsia" w:ascii="宋体" w:hAnsi="宋体" w:eastAsia="宋体" w:cs="宋体"/>
                <w:b w:val="0"/>
                <w:bCs w:val="0"/>
                <w:color w:val="auto"/>
                <w:sz w:val="22"/>
                <w:szCs w:val="22"/>
                <w:highlight w:val="none"/>
                <w:u w:val="none"/>
                <w:lang w:val="en-US" w:eastAsia="zh-CN"/>
              </w:rPr>
            </w:pPr>
            <w:r>
              <w:drawing>
                <wp:inline distT="0" distB="0" distL="114300" distR="114300">
                  <wp:extent cx="1425575" cy="1492250"/>
                  <wp:effectExtent l="0" t="0" r="3175" b="12700"/>
                  <wp:docPr id="28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图片 11"/>
                          <pic:cNvPicPr>
                            <a:picLocks noChangeAspect="1"/>
                          </pic:cNvPicPr>
                        </pic:nvPicPr>
                        <pic:blipFill>
                          <a:blip r:embed="rId8"/>
                          <a:stretch>
                            <a:fillRect/>
                          </a:stretch>
                        </pic:blipFill>
                        <pic:spPr>
                          <a:xfrm>
                            <a:off x="0" y="0"/>
                            <a:ext cx="1425575" cy="1492250"/>
                          </a:xfrm>
                          <a:prstGeom prst="rect">
                            <a:avLst/>
                          </a:prstGeom>
                          <a:noFill/>
                          <a:ln w="9525">
                            <a:noFill/>
                          </a:ln>
                        </pic:spPr>
                      </pic:pic>
                    </a:graphicData>
                  </a:graphic>
                </wp:inline>
              </w:drawing>
            </w:r>
          </w:p>
        </w:tc>
      </w:tr>
      <w:tr w14:paraId="6FE5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gridSpan w:val="2"/>
            <w:tcBorders>
              <w:right w:val="single" w:color="000000" w:sz="4" w:space="0"/>
            </w:tcBorders>
            <w:vAlign w:val="center"/>
          </w:tcPr>
          <w:p w14:paraId="0067E635">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4</w:t>
            </w:r>
          </w:p>
        </w:tc>
        <w:tc>
          <w:tcPr>
            <w:tcW w:w="916" w:type="dxa"/>
            <w:tcBorders>
              <w:left w:val="single" w:color="000000" w:sz="4" w:space="0"/>
            </w:tcBorders>
            <w:vAlign w:val="center"/>
          </w:tcPr>
          <w:p w14:paraId="3A9F6559">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定制多层实木书柜</w:t>
            </w:r>
          </w:p>
        </w:tc>
        <w:tc>
          <w:tcPr>
            <w:tcW w:w="4182" w:type="dxa"/>
            <w:tcBorders>
              <w:right w:val="single" w:color="000000" w:sz="4" w:space="0"/>
            </w:tcBorders>
            <w:vAlign w:val="center"/>
          </w:tcPr>
          <w:p w14:paraId="755C0762">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1、规格：1200*400*2000H</w:t>
            </w:r>
          </w:p>
          <w:p w14:paraId="605D64D8">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w:t>
            </w:r>
            <w:r>
              <w:rPr>
                <w:rFonts w:hint="default" w:ascii="宋体" w:hAnsi="宋体" w:eastAsia="宋体" w:cs="宋体"/>
                <w:b w:val="0"/>
                <w:bCs w:val="0"/>
                <w:color w:val="auto"/>
                <w:kern w:val="2"/>
                <w:sz w:val="20"/>
                <w:szCs w:val="20"/>
                <w:lang w:val="en-US" w:eastAsia="zh-CN" w:bidi="ar-SA"/>
              </w:rPr>
              <w:t>AAA级E1级环保多层实木板基材，0.6厚天然胡桃木皮饰面，华润牌国际免检耐磨环保油漆，经9道打磨工序，优质不锈钢五金配件，经抗氧化处理。</w:t>
            </w:r>
          </w:p>
        </w:tc>
        <w:tc>
          <w:tcPr>
            <w:tcW w:w="821" w:type="dxa"/>
            <w:tcBorders>
              <w:left w:val="single" w:color="000000" w:sz="4" w:space="0"/>
              <w:right w:val="single" w:color="000000" w:sz="4" w:space="0"/>
            </w:tcBorders>
            <w:vAlign w:val="center"/>
          </w:tcPr>
          <w:p w14:paraId="4BFA5D91">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jc w:val="center"/>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1960</w:t>
            </w:r>
          </w:p>
        </w:tc>
        <w:tc>
          <w:tcPr>
            <w:tcW w:w="615" w:type="dxa"/>
            <w:tcBorders>
              <w:left w:val="single" w:color="000000" w:sz="4" w:space="0"/>
              <w:right w:val="single" w:color="000000" w:sz="4" w:space="0"/>
            </w:tcBorders>
            <w:vAlign w:val="center"/>
          </w:tcPr>
          <w:p w14:paraId="65D88120">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个</w:t>
            </w:r>
          </w:p>
        </w:tc>
        <w:tc>
          <w:tcPr>
            <w:tcW w:w="795" w:type="dxa"/>
            <w:tcBorders>
              <w:left w:val="single" w:color="000000" w:sz="4" w:space="0"/>
              <w:right w:val="single" w:color="000000" w:sz="4" w:space="0"/>
            </w:tcBorders>
            <w:vAlign w:val="center"/>
          </w:tcPr>
          <w:p w14:paraId="2A70AF0D">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13" w:leftChars="0" w:right="113" w:rightChars="0" w:firstLine="0" w:firstLineChars="0"/>
              <w:textAlignment w:val="baseline"/>
              <w:rPr>
                <w:rFonts w:hint="default"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12</w:t>
            </w:r>
          </w:p>
        </w:tc>
        <w:tc>
          <w:tcPr>
            <w:tcW w:w="2290" w:type="dxa"/>
            <w:tcBorders>
              <w:left w:val="single" w:color="000000" w:sz="4" w:space="0"/>
            </w:tcBorders>
            <w:vAlign w:val="center"/>
          </w:tcPr>
          <w:p w14:paraId="501F408A">
            <w:pPr>
              <w:pStyle w:val="3"/>
              <w:keepNext w:val="0"/>
              <w:keepLines w:val="0"/>
              <w:pageBreakBefore w:val="0"/>
              <w:widowControl w:val="0"/>
              <w:kinsoku/>
              <w:wordWrap/>
              <w:overflowPunct/>
              <w:topLinePunct w:val="0"/>
              <w:autoSpaceDE/>
              <w:autoSpaceDN/>
              <w:bidi w:val="0"/>
              <w:adjustRightInd/>
              <w:snapToGrid w:val="0"/>
              <w:spacing w:before="0" w:after="0" w:line="240" w:lineRule="auto"/>
              <w:ind w:left="140" w:leftChars="50" w:right="140" w:rightChars="50"/>
              <w:jc w:val="left"/>
              <w:rPr>
                <w:rFonts w:hint="eastAsia" w:ascii="宋体" w:hAnsi="宋体" w:eastAsia="宋体" w:cs="宋体"/>
                <w:b w:val="0"/>
                <w:bCs w:val="0"/>
                <w:color w:val="auto"/>
                <w:sz w:val="22"/>
                <w:szCs w:val="22"/>
                <w:highlight w:val="none"/>
                <w:u w:val="none"/>
                <w:lang w:val="en-US" w:eastAsia="zh-CN"/>
              </w:rPr>
            </w:pPr>
            <w:r>
              <w:drawing>
                <wp:inline distT="0" distB="0" distL="114300" distR="114300">
                  <wp:extent cx="1279525" cy="2113280"/>
                  <wp:effectExtent l="0" t="0" r="15875" b="1270"/>
                  <wp:docPr id="2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 name="图片 1"/>
                          <pic:cNvPicPr>
                            <a:picLocks noChangeAspect="1"/>
                          </pic:cNvPicPr>
                        </pic:nvPicPr>
                        <pic:blipFill>
                          <a:blip r:embed="rId9"/>
                          <a:stretch>
                            <a:fillRect/>
                          </a:stretch>
                        </pic:blipFill>
                        <pic:spPr>
                          <a:xfrm>
                            <a:off x="0" y="0"/>
                            <a:ext cx="1279525" cy="2113280"/>
                          </a:xfrm>
                          <a:prstGeom prst="rect">
                            <a:avLst/>
                          </a:prstGeom>
                          <a:noFill/>
                          <a:ln w="9525">
                            <a:noFill/>
                          </a:ln>
                        </pic:spPr>
                      </pic:pic>
                    </a:graphicData>
                  </a:graphic>
                </wp:inline>
              </w:drawing>
            </w:r>
          </w:p>
        </w:tc>
      </w:tr>
    </w:tbl>
    <w:p w14:paraId="7A680F66">
      <w:pPr>
        <w:keepNext w:val="0"/>
        <w:keepLines w:val="0"/>
        <w:pageBreakBefore w:val="0"/>
        <w:widowControl/>
        <w:numPr>
          <w:ilvl w:val="0"/>
          <w:numId w:val="0"/>
        </w:numPr>
        <w:kinsoku/>
        <w:wordWrap/>
        <w:overflowPunct/>
        <w:topLinePunct w:val="0"/>
        <w:autoSpaceDE/>
        <w:autoSpaceDN/>
        <w:bidi w:val="0"/>
        <w:adjustRightInd/>
        <w:snapToGrid w:val="0"/>
        <w:ind w:left="0" w:leftChars="0" w:firstLine="442" w:firstLineChars="200"/>
        <w:textAlignment w:val="baseline"/>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1.投标样品：</w:t>
      </w:r>
    </w:p>
    <w:p w14:paraId="77EC808B">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(1)投标时，投标人必须提供下列货物作为投标样品供评标委员会进行评审。</w:t>
      </w:r>
    </w:p>
    <w:tbl>
      <w:tblPr>
        <w:tblStyle w:val="6"/>
        <w:tblW w:w="6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354"/>
        <w:gridCol w:w="1318"/>
        <w:gridCol w:w="1631"/>
      </w:tblGrid>
      <w:tr w14:paraId="3BA3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75" w:type="dxa"/>
            <w:vAlign w:val="center"/>
          </w:tcPr>
          <w:p w14:paraId="417AD25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序号</w:t>
            </w:r>
          </w:p>
        </w:tc>
        <w:tc>
          <w:tcPr>
            <w:tcW w:w="3354" w:type="dxa"/>
            <w:vAlign w:val="center"/>
          </w:tcPr>
          <w:p w14:paraId="1FB7FE7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货物名称</w:t>
            </w:r>
          </w:p>
        </w:tc>
        <w:tc>
          <w:tcPr>
            <w:tcW w:w="1318" w:type="dxa"/>
            <w:vAlign w:val="center"/>
          </w:tcPr>
          <w:p w14:paraId="35BD07C3">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数 量</w:t>
            </w:r>
          </w:p>
        </w:tc>
        <w:tc>
          <w:tcPr>
            <w:tcW w:w="1631" w:type="dxa"/>
            <w:vAlign w:val="center"/>
          </w:tcPr>
          <w:p w14:paraId="0CEC68BC">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单 位</w:t>
            </w:r>
          </w:p>
        </w:tc>
      </w:tr>
      <w:tr w14:paraId="2243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675" w:type="dxa"/>
            <w:vAlign w:val="center"/>
          </w:tcPr>
          <w:p w14:paraId="47A7362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w:t>
            </w:r>
          </w:p>
        </w:tc>
        <w:tc>
          <w:tcPr>
            <w:tcW w:w="3354" w:type="dxa"/>
            <w:vAlign w:val="center"/>
          </w:tcPr>
          <w:p w14:paraId="03BEAE7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办公桌</w:t>
            </w:r>
          </w:p>
        </w:tc>
        <w:tc>
          <w:tcPr>
            <w:tcW w:w="1318" w:type="dxa"/>
            <w:vAlign w:val="center"/>
          </w:tcPr>
          <w:p w14:paraId="665A2371">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w:t>
            </w:r>
          </w:p>
        </w:tc>
        <w:tc>
          <w:tcPr>
            <w:tcW w:w="1631" w:type="dxa"/>
            <w:vAlign w:val="center"/>
          </w:tcPr>
          <w:p w14:paraId="6F6BB433">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张</w:t>
            </w:r>
          </w:p>
        </w:tc>
      </w:tr>
      <w:tr w14:paraId="7DA7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675" w:type="dxa"/>
            <w:vAlign w:val="center"/>
          </w:tcPr>
          <w:p w14:paraId="25AE0F54">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w:t>
            </w:r>
          </w:p>
        </w:tc>
        <w:tc>
          <w:tcPr>
            <w:tcW w:w="3354" w:type="dxa"/>
            <w:vAlign w:val="center"/>
          </w:tcPr>
          <w:p w14:paraId="5E32E66E">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椅子</w:t>
            </w:r>
          </w:p>
        </w:tc>
        <w:tc>
          <w:tcPr>
            <w:tcW w:w="1318" w:type="dxa"/>
            <w:vAlign w:val="center"/>
          </w:tcPr>
          <w:p w14:paraId="6136CD5D">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w:t>
            </w:r>
          </w:p>
        </w:tc>
        <w:tc>
          <w:tcPr>
            <w:tcW w:w="1631" w:type="dxa"/>
            <w:vAlign w:val="center"/>
          </w:tcPr>
          <w:p w14:paraId="7FC7C1F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个</w:t>
            </w:r>
          </w:p>
        </w:tc>
      </w:tr>
      <w:tr w14:paraId="1EEF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675" w:type="dxa"/>
            <w:vAlign w:val="center"/>
          </w:tcPr>
          <w:p w14:paraId="3189927D">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3</w:t>
            </w:r>
          </w:p>
        </w:tc>
        <w:tc>
          <w:tcPr>
            <w:tcW w:w="3354" w:type="dxa"/>
            <w:vAlign w:val="center"/>
          </w:tcPr>
          <w:p w14:paraId="354A39F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茶水柜（木板材），提供实物照片</w:t>
            </w:r>
          </w:p>
        </w:tc>
        <w:tc>
          <w:tcPr>
            <w:tcW w:w="1318" w:type="dxa"/>
            <w:vAlign w:val="center"/>
          </w:tcPr>
          <w:p w14:paraId="41E26F55">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w:t>
            </w:r>
          </w:p>
        </w:tc>
        <w:tc>
          <w:tcPr>
            <w:tcW w:w="1631" w:type="dxa"/>
            <w:vAlign w:val="center"/>
          </w:tcPr>
          <w:p w14:paraId="5B8791D2">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块</w:t>
            </w:r>
          </w:p>
        </w:tc>
      </w:tr>
      <w:tr w14:paraId="72BD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675" w:type="dxa"/>
            <w:vAlign w:val="center"/>
          </w:tcPr>
          <w:p w14:paraId="7E469DCD">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4</w:t>
            </w:r>
          </w:p>
        </w:tc>
        <w:tc>
          <w:tcPr>
            <w:tcW w:w="3354" w:type="dxa"/>
            <w:vAlign w:val="center"/>
          </w:tcPr>
          <w:p w14:paraId="52431B5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书柜（木板材），提供实物照片</w:t>
            </w:r>
          </w:p>
        </w:tc>
        <w:tc>
          <w:tcPr>
            <w:tcW w:w="1318" w:type="dxa"/>
            <w:vAlign w:val="center"/>
          </w:tcPr>
          <w:p w14:paraId="7F1964A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w:t>
            </w:r>
          </w:p>
        </w:tc>
        <w:tc>
          <w:tcPr>
            <w:tcW w:w="1631" w:type="dxa"/>
            <w:vAlign w:val="center"/>
          </w:tcPr>
          <w:p w14:paraId="14334E4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块</w:t>
            </w:r>
          </w:p>
        </w:tc>
      </w:tr>
    </w:tbl>
    <w:p w14:paraId="7A456B30">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p>
    <w:p w14:paraId="56D8F197">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(2)投标人所提供样品须在包装表面应注明“投标样品”字眼和投标人的名称并加盖投标人公章。（格式如下）：</w:t>
      </w:r>
    </w:p>
    <w:tbl>
      <w:tblPr>
        <w:tblStyle w:val="5"/>
        <w:tblW w:w="0" w:type="auto"/>
        <w:tblInd w:w="13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387"/>
      </w:tblGrid>
      <w:tr w14:paraId="009647D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871" w:hRule="atLeast"/>
        </w:trPr>
        <w:tc>
          <w:tcPr>
            <w:tcW w:w="8820" w:type="dxa"/>
            <w:tcBorders>
              <w:top w:val="single" w:color="000000" w:sz="4" w:space="0"/>
              <w:left w:val="single" w:color="000000" w:sz="4" w:space="0"/>
              <w:bottom w:val="single" w:color="000000" w:sz="4" w:space="0"/>
              <w:right w:val="single" w:color="000000" w:sz="4" w:space="0"/>
            </w:tcBorders>
            <w:vAlign w:val="center"/>
          </w:tcPr>
          <w:p w14:paraId="57368AE3">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项目名称：</w:t>
            </w:r>
          </w:p>
          <w:p w14:paraId="1985CCF1">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项目编号：</w:t>
            </w:r>
          </w:p>
          <w:p w14:paraId="504E984B">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供应商名称：</w:t>
            </w:r>
          </w:p>
          <w:p w14:paraId="789A0DB6">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在规定的开标时间202  年   月   日  时之前不得启封</w:t>
            </w:r>
          </w:p>
        </w:tc>
      </w:tr>
    </w:tbl>
    <w:p w14:paraId="6E0C4A67">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投标样品的提供是投标人对于投标文件中文字内容的补充，样品将作为评审时的重要依据之一。</w:t>
      </w:r>
    </w:p>
    <w:p w14:paraId="73797DF3">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3、关于样品的退还：</w:t>
      </w:r>
    </w:p>
    <w:p w14:paraId="4CA605EF">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（1）招标活动结束后,中标人提供的样品将被封存，并作为履约验收的参考。</w:t>
      </w:r>
    </w:p>
    <w:p w14:paraId="215DF266">
      <w:pPr>
        <w:keepNext w:val="0"/>
        <w:keepLines w:val="0"/>
        <w:pageBreakBefore w:val="0"/>
        <w:widowControl/>
        <w:numPr>
          <w:ilvl w:val="0"/>
          <w:numId w:val="0"/>
        </w:numPr>
        <w:kinsoku/>
        <w:wordWrap/>
        <w:overflowPunct/>
        <w:topLinePunct w:val="0"/>
        <w:autoSpaceDE/>
        <w:autoSpaceDN/>
        <w:bidi w:val="0"/>
        <w:adjustRightInd/>
        <w:snapToGrid w:val="0"/>
        <w:ind w:left="0" w:leftChars="0" w:firstLine="440" w:firstLineChars="200"/>
        <w:textAlignment w:val="baseline"/>
        <w:rPr>
          <w:rFonts w:hint="eastAsia" w:ascii="宋体" w:hAnsi="宋体" w:eastAsia="宋体" w:cs="宋体"/>
          <w:b w:val="0"/>
          <w:bCs w:val="0"/>
          <w:color w:val="auto"/>
          <w:sz w:val="22"/>
          <w:szCs w:val="22"/>
          <w:highlight w:val="none"/>
          <w:u w:val="none"/>
          <w:lang w:val="en-US" w:eastAsia="zh-CN"/>
        </w:rPr>
      </w:pPr>
      <w:r>
        <w:rPr>
          <w:rFonts w:hint="eastAsia" w:ascii="宋体" w:hAnsi="宋体" w:eastAsia="宋体" w:cs="宋体"/>
          <w:b w:val="0"/>
          <w:bCs w:val="0"/>
          <w:color w:val="auto"/>
          <w:sz w:val="22"/>
          <w:szCs w:val="22"/>
          <w:highlight w:val="none"/>
          <w:u w:val="none"/>
          <w:lang w:val="en-US" w:eastAsia="zh-CN"/>
        </w:rPr>
        <w:t>（2）未中标人的样品由投标人授权代表凭投标人开具的《领回投标样品授权书》（格式自拟）在中标结果公告结束后5个工作日内至采购人自行撤回，逾期将视为该投标人放弃该样品所有权，招标代理机构和招标人将自行处理。</w:t>
      </w:r>
    </w:p>
    <w:p w14:paraId="5DEA87D4">
      <w:r>
        <w:br w:type="page"/>
      </w:r>
    </w:p>
    <w:p w14:paraId="27AF045A">
      <w:pPr>
        <w:pStyle w:val="4"/>
        <w:numPr>
          <w:ilvl w:val="0"/>
          <w:numId w:val="0"/>
        </w:numPr>
        <w:bidi w:val="0"/>
        <w:ind w:left="420" w:leftChars="0"/>
        <w:jc w:val="center"/>
        <w:rPr>
          <w:rFonts w:hint="eastAsia" w:ascii="宋体" w:hAnsi="宋体" w:eastAsia="宋体" w:cs="宋体"/>
          <w:lang w:val="zh-CN" w:eastAsia="zh-CN"/>
        </w:rPr>
      </w:pPr>
      <w:r>
        <w:rPr>
          <w:rFonts w:hint="eastAsia" w:ascii="宋体" w:hAnsi="宋体" w:eastAsia="宋体" w:cs="宋体"/>
          <w:lang w:val="zh-CN" w:eastAsia="zh-CN"/>
        </w:rPr>
        <w:t>评审表</w:t>
      </w:r>
    </w:p>
    <w:tbl>
      <w:tblPr>
        <w:tblStyle w:val="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1"/>
        <w:gridCol w:w="1662"/>
        <w:gridCol w:w="4983"/>
        <w:gridCol w:w="1032"/>
      </w:tblGrid>
      <w:tr w14:paraId="70605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2" w:hRule="atLeast"/>
          <w:jc w:val="center"/>
        </w:trPr>
        <w:tc>
          <w:tcPr>
            <w:tcW w:w="380" w:type="pct"/>
            <w:shd w:val="clear" w:color="auto" w:fill="F5F5F5"/>
            <w:vAlign w:val="center"/>
          </w:tcPr>
          <w:p w14:paraId="30E5C335">
            <w:pPr>
              <w:spacing w:before="89" w:line="186" w:lineRule="auto"/>
              <w:ind w:left="0" w:leftChars="0" w:firstLine="0" w:firstLineChars="0"/>
              <w:jc w:val="center"/>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pacing w:val="8"/>
                <w:sz w:val="22"/>
                <w:szCs w:val="22"/>
                <w:highlight w:val="none"/>
                <w:u w:val="none"/>
              </w:rPr>
              <w:t>评审因素</w:t>
            </w:r>
          </w:p>
        </w:tc>
        <w:tc>
          <w:tcPr>
            <w:tcW w:w="3998" w:type="pct"/>
            <w:gridSpan w:val="2"/>
            <w:shd w:val="clear" w:color="auto" w:fill="F5F5F5"/>
            <w:vAlign w:val="center"/>
          </w:tcPr>
          <w:p w14:paraId="233CE3CB">
            <w:pPr>
              <w:spacing w:before="89" w:line="186" w:lineRule="auto"/>
              <w:ind w:left="0" w:leftChars="0" w:firstLine="0" w:firstLineChars="0"/>
              <w:jc w:val="center"/>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pacing w:val="8"/>
                <w:sz w:val="22"/>
                <w:szCs w:val="22"/>
                <w:highlight w:val="none"/>
                <w:u w:val="none"/>
              </w:rPr>
              <w:t>评审标准</w:t>
            </w:r>
          </w:p>
        </w:tc>
        <w:tc>
          <w:tcPr>
            <w:tcW w:w="621" w:type="pct"/>
            <w:shd w:val="clear" w:color="auto" w:fill="F5F5F5"/>
            <w:vAlign w:val="center"/>
          </w:tcPr>
          <w:p w14:paraId="44A7CA0C">
            <w:pPr>
              <w:spacing w:before="89" w:line="186" w:lineRule="auto"/>
              <w:ind w:left="0" w:leftChars="0" w:firstLine="0" w:firstLineChars="0"/>
              <w:jc w:val="center"/>
              <w:rPr>
                <w:rFonts w:hint="eastAsia" w:ascii="宋体" w:hAnsi="宋体" w:eastAsia="宋体" w:cs="宋体"/>
                <w:b w:val="0"/>
                <w:bCs w:val="0"/>
                <w:color w:val="auto"/>
                <w:spacing w:val="8"/>
                <w:sz w:val="22"/>
                <w:szCs w:val="22"/>
                <w:highlight w:val="none"/>
                <w:u w:val="none"/>
              </w:rPr>
            </w:pPr>
            <w:r>
              <w:rPr>
                <w:rFonts w:hint="eastAsia" w:ascii="宋体" w:hAnsi="宋体" w:eastAsia="宋体" w:cs="宋体"/>
                <w:b w:val="0"/>
                <w:bCs w:val="0"/>
                <w:color w:val="auto"/>
                <w:sz w:val="22"/>
                <w:szCs w:val="22"/>
                <w:highlight w:val="none"/>
                <w:u w:val="none"/>
                <w:lang w:eastAsia="zh-CN"/>
              </w:rPr>
              <w:t>备注</w:t>
            </w:r>
          </w:p>
        </w:tc>
      </w:tr>
      <w:tr w14:paraId="69A3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380" w:type="pct"/>
            <w:vAlign w:val="center"/>
          </w:tcPr>
          <w:p w14:paraId="4D4EC8A5">
            <w:pPr>
              <w:spacing w:before="62" w:line="186" w:lineRule="auto"/>
              <w:ind w:left="0" w:leftChars="0" w:firstLine="0" w:firstLineChars="0"/>
              <w:jc w:val="center"/>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pacing w:val="-1"/>
                <w:sz w:val="22"/>
                <w:szCs w:val="22"/>
                <w:highlight w:val="none"/>
                <w:u w:val="none"/>
              </w:rPr>
              <w:t>分值构成</w:t>
            </w:r>
          </w:p>
        </w:tc>
        <w:tc>
          <w:tcPr>
            <w:tcW w:w="3998" w:type="pct"/>
            <w:gridSpan w:val="2"/>
            <w:vAlign w:val="center"/>
          </w:tcPr>
          <w:p w14:paraId="2D1F6006">
            <w:pPr>
              <w:spacing w:line="204" w:lineRule="auto"/>
              <w:ind w:firstLine="101"/>
              <w:jc w:val="center"/>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lang w:eastAsia="zh-CN"/>
              </w:rPr>
              <w:t>商务技术</w:t>
            </w:r>
            <w:r>
              <w:rPr>
                <w:rFonts w:hint="eastAsia" w:ascii="宋体" w:hAnsi="宋体" w:eastAsia="宋体" w:cs="宋体"/>
                <w:b w:val="0"/>
                <w:bCs w:val="0"/>
                <w:color w:val="auto"/>
                <w:sz w:val="22"/>
                <w:szCs w:val="22"/>
                <w:highlight w:val="none"/>
                <w:u w:val="none"/>
                <w:lang w:val="en-US" w:eastAsia="zh-CN"/>
              </w:rPr>
              <w:t>60</w:t>
            </w:r>
            <w:r>
              <w:rPr>
                <w:rFonts w:hint="eastAsia" w:ascii="宋体" w:hAnsi="宋体" w:eastAsia="宋体" w:cs="宋体"/>
                <w:b w:val="0"/>
                <w:bCs w:val="0"/>
                <w:color w:val="auto"/>
                <w:sz w:val="22"/>
                <w:szCs w:val="22"/>
                <w:highlight w:val="none"/>
                <w:u w:val="none"/>
              </w:rPr>
              <w:t>.0分</w:t>
            </w:r>
          </w:p>
          <w:p w14:paraId="7D898D66">
            <w:pPr>
              <w:spacing w:before="134" w:line="180" w:lineRule="auto"/>
              <w:ind w:firstLine="99"/>
              <w:jc w:val="center"/>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报价得分</w:t>
            </w:r>
            <w:r>
              <w:rPr>
                <w:rFonts w:hint="eastAsia" w:ascii="宋体" w:hAnsi="宋体" w:eastAsia="宋体" w:cs="宋体"/>
                <w:b w:val="0"/>
                <w:bCs w:val="0"/>
                <w:color w:val="auto"/>
                <w:sz w:val="22"/>
                <w:szCs w:val="22"/>
                <w:highlight w:val="none"/>
                <w:u w:val="none"/>
                <w:lang w:val="en-US" w:eastAsia="zh-CN"/>
              </w:rPr>
              <w:t>40</w:t>
            </w:r>
            <w:r>
              <w:rPr>
                <w:rFonts w:hint="eastAsia" w:ascii="宋体" w:hAnsi="宋体" w:eastAsia="宋体" w:cs="宋体"/>
                <w:b w:val="0"/>
                <w:bCs w:val="0"/>
                <w:color w:val="auto"/>
                <w:sz w:val="22"/>
                <w:szCs w:val="22"/>
                <w:highlight w:val="none"/>
                <w:u w:val="none"/>
              </w:rPr>
              <w:t>.0分</w:t>
            </w:r>
          </w:p>
        </w:tc>
        <w:tc>
          <w:tcPr>
            <w:tcW w:w="621" w:type="pct"/>
            <w:vAlign w:val="center"/>
          </w:tcPr>
          <w:p w14:paraId="0E31D957">
            <w:pPr>
              <w:spacing w:before="134" w:line="180" w:lineRule="auto"/>
              <w:ind w:firstLine="99"/>
              <w:jc w:val="center"/>
              <w:rPr>
                <w:rFonts w:hint="eastAsia" w:ascii="宋体" w:hAnsi="宋体" w:eastAsia="宋体" w:cs="宋体"/>
                <w:b w:val="0"/>
                <w:bCs w:val="0"/>
                <w:color w:val="auto"/>
                <w:sz w:val="22"/>
                <w:szCs w:val="22"/>
                <w:highlight w:val="none"/>
                <w:u w:val="none"/>
                <w:lang w:eastAsia="zh-CN"/>
              </w:rPr>
            </w:pPr>
          </w:p>
        </w:tc>
      </w:tr>
      <w:tr w14:paraId="30561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0" w:type="pct"/>
            <w:vMerge w:val="restart"/>
            <w:tcBorders>
              <w:left w:val="single" w:color="auto" w:sz="4" w:space="0"/>
              <w:right w:val="single" w:color="auto" w:sz="4" w:space="0"/>
            </w:tcBorders>
            <w:vAlign w:val="center"/>
          </w:tcPr>
          <w:p w14:paraId="4BD66214">
            <w:pPr>
              <w:ind w:left="0" w:leftChars="0" w:firstLine="0" w:firstLineChars="0"/>
              <w:jc w:val="center"/>
              <w:rPr>
                <w:rFonts w:hint="eastAsia" w:ascii="宋体" w:hAnsi="宋体" w:eastAsia="宋体" w:cs="宋体"/>
                <w:b w:val="0"/>
                <w:bCs w:val="0"/>
                <w:color w:val="auto"/>
                <w:sz w:val="22"/>
                <w:szCs w:val="22"/>
                <w:highlight w:val="none"/>
                <w:u w:val="none"/>
                <w:lang w:eastAsia="zh-CN"/>
              </w:rPr>
            </w:pPr>
            <w:r>
              <w:rPr>
                <w:rFonts w:hint="eastAsia" w:ascii="宋体" w:hAnsi="宋体" w:eastAsia="宋体" w:cs="宋体"/>
                <w:b w:val="0"/>
                <w:bCs w:val="0"/>
                <w:color w:val="auto"/>
                <w:spacing w:val="-1"/>
                <w:sz w:val="22"/>
                <w:szCs w:val="22"/>
                <w:highlight w:val="none"/>
                <w:u w:val="none"/>
                <w:lang w:eastAsia="zh-CN"/>
              </w:rPr>
              <w:t>商务</w:t>
            </w:r>
            <w:r>
              <w:rPr>
                <w:rFonts w:hint="eastAsia" w:ascii="宋体" w:hAnsi="宋体" w:eastAsia="宋体" w:cs="宋体"/>
                <w:b w:val="0"/>
                <w:bCs w:val="0"/>
                <w:color w:val="auto"/>
                <w:spacing w:val="-1"/>
                <w:sz w:val="22"/>
                <w:szCs w:val="22"/>
                <w:highlight w:val="none"/>
                <w:u w:val="none"/>
              </w:rPr>
              <w:t>技术</w:t>
            </w:r>
          </w:p>
        </w:tc>
        <w:tc>
          <w:tcPr>
            <w:tcW w:w="1000" w:type="pct"/>
            <w:tcBorders>
              <w:top w:val="single" w:color="auto" w:sz="4" w:space="0"/>
              <w:left w:val="single" w:color="auto" w:sz="4" w:space="0"/>
              <w:bottom w:val="single" w:color="auto" w:sz="4" w:space="0"/>
              <w:right w:val="single" w:color="auto" w:sz="4" w:space="0"/>
            </w:tcBorders>
            <w:vAlign w:val="center"/>
          </w:tcPr>
          <w:p w14:paraId="7BC390C3">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质量保证措施 </w:t>
            </w:r>
          </w:p>
          <w:p w14:paraId="20A07CCB">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(10.0分</w:t>
            </w:r>
            <w:r>
              <w:rPr>
                <w:rFonts w:hint="default" w:ascii="宋体" w:hAnsi="宋体" w:eastAsia="宋体" w:cs="宋体"/>
                <w:b w:val="0"/>
                <w:bCs w:val="0"/>
                <w:sz w:val="22"/>
                <w:szCs w:val="22"/>
                <w:lang w:val="en-US" w:eastAsia="zh-CN"/>
              </w:rPr>
              <w:t>)</w:t>
            </w:r>
          </w:p>
          <w:p w14:paraId="1ACE4E7D">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p>
        </w:tc>
        <w:tc>
          <w:tcPr>
            <w:tcW w:w="2998" w:type="pct"/>
            <w:tcBorders>
              <w:left w:val="single" w:color="auto" w:sz="4" w:space="0"/>
            </w:tcBorders>
            <w:vAlign w:val="center"/>
          </w:tcPr>
          <w:p w14:paraId="3B5E880B">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 xml:space="preserve">根据供应商质量保证措施、针对性、可行性情况进行评价： </w:t>
            </w:r>
          </w:p>
          <w:p w14:paraId="5062C57A">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1.质量保证措施详细具体、针对性强、合理可行，得10分；</w:t>
            </w:r>
          </w:p>
          <w:p w14:paraId="27F6E7F9">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2.质量保证措施基本完整、有一定针对性、可行性一般，得7分；</w:t>
            </w:r>
          </w:p>
          <w:p w14:paraId="7596B9DC">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 xml:space="preserve">3.质量保证措施不完整、缺乏针对性、可行性差，得4分。 </w:t>
            </w:r>
          </w:p>
          <w:p w14:paraId="7EAF21C1">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 xml:space="preserve">4.不提供不得分。 </w:t>
            </w:r>
          </w:p>
        </w:tc>
        <w:tc>
          <w:tcPr>
            <w:tcW w:w="621" w:type="pct"/>
            <w:tcBorders>
              <w:left w:val="single" w:color="auto" w:sz="4" w:space="0"/>
            </w:tcBorders>
            <w:vAlign w:val="center"/>
          </w:tcPr>
          <w:p w14:paraId="68F79910">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57024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0" w:type="pct"/>
            <w:vMerge w:val="continue"/>
            <w:tcBorders>
              <w:left w:val="single" w:color="auto" w:sz="4" w:space="0"/>
              <w:right w:val="single" w:color="auto" w:sz="4" w:space="0"/>
            </w:tcBorders>
            <w:vAlign w:val="center"/>
          </w:tcPr>
          <w:p w14:paraId="00256E90">
            <w:pPr>
              <w:ind w:left="0" w:leftChars="0" w:firstLine="0" w:firstLineChars="0"/>
              <w:jc w:val="center"/>
              <w:rPr>
                <w:rFonts w:hint="eastAsia" w:ascii="宋体" w:hAnsi="宋体" w:eastAsia="宋体" w:cs="宋体"/>
                <w:b w:val="0"/>
                <w:bCs w:val="0"/>
                <w:color w:val="auto"/>
                <w:sz w:val="22"/>
                <w:szCs w:val="22"/>
                <w:highlight w:val="none"/>
                <w:u w:val="none"/>
                <w:lang w:eastAsia="zh-CN"/>
              </w:rPr>
            </w:pP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CFD1F09">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样品评价</w:t>
            </w:r>
          </w:p>
          <w:p w14:paraId="52FA8168">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(15.0分)</w:t>
            </w:r>
          </w:p>
        </w:tc>
        <w:tc>
          <w:tcPr>
            <w:tcW w:w="2998" w:type="pct"/>
            <w:tcBorders>
              <w:left w:val="single" w:color="auto" w:sz="4" w:space="0"/>
            </w:tcBorders>
            <w:shd w:val="clear" w:color="auto" w:fill="auto"/>
          </w:tcPr>
          <w:p w14:paraId="5B40B512">
            <w:pPr>
              <w:keepNext w:val="0"/>
              <w:keepLines w:val="0"/>
              <w:pageBreakBefore w:val="0"/>
              <w:widowControl/>
              <w:kinsoku/>
              <w:wordWrap/>
              <w:overflowPunct/>
              <w:topLinePunct w:val="0"/>
              <w:autoSpaceDE/>
              <w:autoSpaceDN/>
              <w:bidi w:val="0"/>
              <w:adjustRightInd/>
              <w:snapToGrid w:val="0"/>
              <w:spacing w:line="240" w:lineRule="auto"/>
              <w:ind w:left="140" w:leftChars="50" w:right="140" w:rightChars="50" w:firstLine="0" w:firstLineChars="0"/>
              <w:jc w:val="left"/>
              <w:textAlignment w:val="baseline"/>
              <w:rPr>
                <w:rFonts w:hint="eastAsia" w:ascii="宋体" w:hAnsi="宋体" w:eastAsia="宋体" w:cs="宋体"/>
                <w:b w:val="0"/>
                <w:bCs w:val="0"/>
                <w:sz w:val="22"/>
                <w:szCs w:val="22"/>
                <w:lang w:val="en-US" w:eastAsia="zh-CN"/>
              </w:rPr>
            </w:pPr>
            <w:r>
              <w:rPr>
                <w:rFonts w:hint="eastAsia" w:ascii="宋体" w:hAnsi="宋体" w:eastAsia="宋体" w:cs="宋体"/>
                <w:b/>
                <w:bCs/>
                <w:color w:val="0000FF"/>
                <w:sz w:val="22"/>
                <w:szCs w:val="22"/>
                <w:lang w:val="en-US" w:eastAsia="zh-CN"/>
              </w:rPr>
              <w:t>根据投标人提供的样品（</w:t>
            </w:r>
            <w:r>
              <w:rPr>
                <w:rFonts w:hint="eastAsia" w:ascii="宋体" w:hAnsi="宋体" w:eastAsia="宋体" w:cs="宋体"/>
                <w:b/>
                <w:bCs/>
                <w:color w:val="0000FF"/>
                <w:sz w:val="22"/>
                <w:szCs w:val="22"/>
                <w:highlight w:val="none"/>
                <w:u w:val="none"/>
                <w:lang w:val="en-US" w:eastAsia="zh-CN"/>
              </w:rPr>
              <w:t>办公桌</w:t>
            </w:r>
            <w:r>
              <w:rPr>
                <w:rFonts w:hint="eastAsia" w:ascii="宋体" w:hAnsi="宋体" w:eastAsia="宋体" w:cs="宋体"/>
                <w:b/>
                <w:bCs/>
                <w:color w:val="0000FF"/>
                <w:sz w:val="22"/>
                <w:szCs w:val="22"/>
                <w:lang w:val="en-US" w:eastAsia="zh-CN"/>
              </w:rPr>
              <w:t>、椅子、书柜、茶水柜），对结构、外观、性能、款式颜色、规格、材质、加工工艺、烤漆等进行评审</w:t>
            </w:r>
            <w:r>
              <w:rPr>
                <w:rFonts w:hint="eastAsia" w:ascii="宋体" w:hAnsi="宋体" w:eastAsia="宋体" w:cs="宋体"/>
                <w:b w:val="0"/>
                <w:bCs w:val="0"/>
                <w:sz w:val="22"/>
                <w:szCs w:val="22"/>
                <w:lang w:val="en-US" w:eastAsia="zh-CN"/>
              </w:rPr>
              <w:t>：</w:t>
            </w:r>
          </w:p>
          <w:p w14:paraId="10CF0AB6">
            <w:pPr>
              <w:keepNext w:val="0"/>
              <w:keepLines w:val="0"/>
              <w:pageBreakBefore w:val="0"/>
              <w:widowControl/>
              <w:numPr>
                <w:ilvl w:val="0"/>
                <w:numId w:val="2"/>
              </w:numPr>
              <w:kinsoku/>
              <w:wordWrap/>
              <w:overflowPunct/>
              <w:topLinePunct w:val="0"/>
              <w:autoSpaceDE/>
              <w:autoSpaceDN/>
              <w:bidi w:val="0"/>
              <w:adjustRightInd/>
              <w:snapToGrid w:val="0"/>
              <w:spacing w:line="240" w:lineRule="auto"/>
              <w:ind w:left="140" w:leftChars="50" w:right="140" w:rightChars="50" w:firstLine="0" w:firstLineChars="0"/>
              <w:jc w:val="left"/>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结构稳定可靠，人性化设计理念好，加工工艺好，漆色均匀，外观舒适，无刺鼻异味、无安全隐患，表面处理和部件拼接平滑，整体效果佳，满足或优于项目需求，得15分；</w:t>
            </w:r>
          </w:p>
          <w:p w14:paraId="3396B888">
            <w:pPr>
              <w:keepNext w:val="0"/>
              <w:keepLines w:val="0"/>
              <w:pageBreakBefore w:val="0"/>
              <w:widowControl/>
              <w:numPr>
                <w:ilvl w:val="0"/>
                <w:numId w:val="2"/>
              </w:numPr>
              <w:kinsoku/>
              <w:wordWrap/>
              <w:overflowPunct/>
              <w:topLinePunct w:val="0"/>
              <w:autoSpaceDE/>
              <w:autoSpaceDN/>
              <w:bidi w:val="0"/>
              <w:adjustRightInd/>
              <w:snapToGrid w:val="0"/>
              <w:spacing w:line="240" w:lineRule="auto"/>
              <w:ind w:left="140" w:leftChars="50" w:right="140" w:rightChars="50" w:firstLine="0" w:firstLineChars="0"/>
              <w:jc w:val="left"/>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结构较稳定可靠，人性化设计理念较好，加工工艺较好，漆色较均匀，外观较舒适，表面处理和部件拼接平滑，无刺鼻异味、无安全隐患，整体效果较佳，满足项目需求，得10分；</w:t>
            </w:r>
          </w:p>
          <w:p w14:paraId="33590464">
            <w:pPr>
              <w:keepNext w:val="0"/>
              <w:keepLines w:val="0"/>
              <w:pageBreakBefore w:val="0"/>
              <w:widowControl/>
              <w:numPr>
                <w:ilvl w:val="0"/>
                <w:numId w:val="2"/>
              </w:numPr>
              <w:kinsoku/>
              <w:wordWrap/>
              <w:overflowPunct/>
              <w:topLinePunct w:val="0"/>
              <w:autoSpaceDE/>
              <w:autoSpaceDN/>
              <w:bidi w:val="0"/>
              <w:adjustRightInd/>
              <w:snapToGrid w:val="0"/>
              <w:spacing w:line="240" w:lineRule="auto"/>
              <w:ind w:left="140" w:leftChars="50" w:right="140" w:rightChars="50" w:firstLine="0" w:firstLineChars="0"/>
              <w:jc w:val="left"/>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结构稳定可靠性一般，人性化设计理念一般，加工工艺一般，漆色均匀度一般，外观一般，表面处理和部件拼接一般，无刺鼻异味、无安全隐患，整体效果一般，基本满足项目需求，得6</w:t>
            </w:r>
            <w:bookmarkStart w:id="0" w:name="_GoBack"/>
            <w:bookmarkEnd w:id="0"/>
            <w:r>
              <w:rPr>
                <w:rFonts w:hint="eastAsia" w:ascii="宋体" w:hAnsi="宋体" w:eastAsia="宋体" w:cs="宋体"/>
                <w:b w:val="0"/>
                <w:bCs w:val="0"/>
                <w:sz w:val="22"/>
                <w:szCs w:val="22"/>
                <w:lang w:val="en-US" w:eastAsia="zh-CN"/>
              </w:rPr>
              <w:t>分；</w:t>
            </w:r>
          </w:p>
          <w:p w14:paraId="5320E020">
            <w:pPr>
              <w:keepNext w:val="0"/>
              <w:keepLines w:val="0"/>
              <w:pageBreakBefore w:val="0"/>
              <w:widowControl/>
              <w:numPr>
                <w:ilvl w:val="0"/>
                <w:numId w:val="2"/>
              </w:numPr>
              <w:kinsoku/>
              <w:wordWrap/>
              <w:overflowPunct/>
              <w:topLinePunct w:val="0"/>
              <w:autoSpaceDE/>
              <w:autoSpaceDN/>
              <w:bidi w:val="0"/>
              <w:adjustRightInd/>
              <w:snapToGrid w:val="0"/>
              <w:spacing w:line="240" w:lineRule="auto"/>
              <w:ind w:left="140" w:leftChars="50" w:right="140" w:rightChars="50" w:firstLine="0" w:firstLineChars="0"/>
              <w:jc w:val="left"/>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结构稳定可靠性差，人性化设计理念差，加工工艺差，漆色不均匀，外观差，表面处理和部件拼接差，有刺鼻异味、有安全隐患，整体效果差，不能满足项目需求，</w:t>
            </w:r>
            <w:r>
              <w:rPr>
                <w:rFonts w:hint="eastAsia" w:ascii="宋体" w:hAnsi="宋体" w:eastAsia="宋体" w:cs="宋体"/>
                <w:b w:val="0"/>
                <w:bCs w:val="0"/>
                <w:color w:val="auto"/>
                <w:spacing w:val="-3"/>
                <w:sz w:val="22"/>
                <w:szCs w:val="22"/>
                <w:highlight w:val="none"/>
                <w:u w:val="none"/>
                <w:lang w:val="en-US" w:eastAsia="zh-CN"/>
              </w:rPr>
              <w:t>不得分</w:t>
            </w:r>
            <w:r>
              <w:rPr>
                <w:rFonts w:hint="eastAsia" w:ascii="宋体" w:hAnsi="宋体" w:eastAsia="宋体" w:cs="宋体"/>
                <w:b w:val="0"/>
                <w:bCs w:val="0"/>
                <w:sz w:val="22"/>
                <w:szCs w:val="22"/>
                <w:lang w:val="en-US" w:eastAsia="zh-CN"/>
              </w:rPr>
              <w:t>。</w:t>
            </w:r>
          </w:p>
        </w:tc>
        <w:tc>
          <w:tcPr>
            <w:tcW w:w="621" w:type="pct"/>
            <w:tcBorders>
              <w:left w:val="single" w:color="auto" w:sz="4" w:space="0"/>
            </w:tcBorders>
            <w:vAlign w:val="center"/>
          </w:tcPr>
          <w:p w14:paraId="4B56FA25">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27562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9" w:hRule="atLeast"/>
          <w:jc w:val="center"/>
        </w:trPr>
        <w:tc>
          <w:tcPr>
            <w:tcW w:w="380" w:type="pct"/>
            <w:vMerge w:val="continue"/>
            <w:tcBorders>
              <w:left w:val="single" w:color="auto" w:sz="4" w:space="0"/>
              <w:right w:val="single" w:color="auto" w:sz="4" w:space="0"/>
            </w:tcBorders>
            <w:vAlign w:val="center"/>
          </w:tcPr>
          <w:p w14:paraId="13360E31">
            <w:pPr>
              <w:spacing w:before="63" w:line="186" w:lineRule="auto"/>
              <w:ind w:firstLine="202"/>
              <w:jc w:val="center"/>
              <w:rPr>
                <w:rFonts w:hint="eastAsia" w:ascii="宋体" w:hAnsi="宋体" w:eastAsia="宋体" w:cs="宋体"/>
                <w:b w:val="0"/>
                <w:bCs w:val="0"/>
                <w:color w:val="auto"/>
                <w:spacing w:val="-1"/>
                <w:sz w:val="22"/>
                <w:szCs w:val="22"/>
                <w:highlight w:val="none"/>
                <w:u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1DED5C14">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实施方案</w:t>
            </w:r>
          </w:p>
          <w:p w14:paraId="7482EA2A">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lang w:val="zh-CN" w:eastAsia="zh-CN"/>
              </w:rPr>
            </w:pPr>
            <w:r>
              <w:rPr>
                <w:rFonts w:hint="eastAsia" w:ascii="宋体" w:hAnsi="宋体" w:eastAsia="宋体" w:cs="宋体"/>
                <w:b w:val="0"/>
                <w:bCs w:val="0"/>
                <w:sz w:val="22"/>
                <w:szCs w:val="22"/>
                <w:lang w:val="en-US" w:eastAsia="zh-CN"/>
              </w:rPr>
              <w:t>(10.0分)</w:t>
            </w:r>
          </w:p>
        </w:tc>
        <w:tc>
          <w:tcPr>
            <w:tcW w:w="2998" w:type="pct"/>
            <w:tcBorders>
              <w:left w:val="single" w:color="auto" w:sz="4" w:space="0"/>
            </w:tcBorders>
            <w:vAlign w:val="center"/>
          </w:tcPr>
          <w:p w14:paraId="5A7D46E7">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根据投标人提供的实施方案（包括本项目的需求分析、项目组织实施方案、供货计划及进度安排）进行评审：</w:t>
            </w:r>
          </w:p>
          <w:p w14:paraId="03ECA883">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1.实施方案详细、合理、可行，得10分；</w:t>
            </w:r>
          </w:p>
          <w:p w14:paraId="7B29250E">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2.实施方案基本详细，较合理、有一定可行性，得7分；</w:t>
            </w:r>
          </w:p>
          <w:p w14:paraId="7E8DAA29">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en-US" w:eastAsia="zh-CN"/>
              </w:rPr>
            </w:pPr>
            <w:r>
              <w:rPr>
                <w:rFonts w:hint="eastAsia" w:ascii="宋体" w:hAnsi="宋体" w:eastAsia="宋体" w:cs="宋体"/>
                <w:b w:val="0"/>
                <w:bCs w:val="0"/>
                <w:color w:val="auto"/>
                <w:spacing w:val="-3"/>
                <w:sz w:val="22"/>
                <w:szCs w:val="22"/>
                <w:highlight w:val="none"/>
                <w:u w:val="none"/>
                <w:lang w:val="en-US" w:eastAsia="zh-CN"/>
              </w:rPr>
              <w:t>3.实施方案简单或不合理或缺乏可行性，得3分；</w:t>
            </w:r>
          </w:p>
          <w:p w14:paraId="27533A8F">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4.不提供不得分</w:t>
            </w:r>
          </w:p>
        </w:tc>
        <w:tc>
          <w:tcPr>
            <w:tcW w:w="621" w:type="pct"/>
            <w:tcBorders>
              <w:left w:val="single" w:color="auto" w:sz="4" w:space="0"/>
            </w:tcBorders>
            <w:vAlign w:val="center"/>
          </w:tcPr>
          <w:p w14:paraId="4B1E4BD8">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6555D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380" w:type="pct"/>
            <w:vMerge w:val="continue"/>
            <w:tcBorders>
              <w:left w:val="single" w:color="auto" w:sz="4" w:space="0"/>
              <w:right w:val="single" w:color="auto" w:sz="4" w:space="0"/>
            </w:tcBorders>
            <w:vAlign w:val="center"/>
          </w:tcPr>
          <w:p w14:paraId="4AF76088">
            <w:pPr>
              <w:jc w:val="center"/>
              <w:rPr>
                <w:rFonts w:hint="eastAsia" w:ascii="宋体" w:hAnsi="宋体" w:eastAsia="宋体" w:cs="宋体"/>
                <w:b w:val="0"/>
                <w:bCs w:val="0"/>
                <w:color w:val="auto"/>
                <w:sz w:val="22"/>
                <w:szCs w:val="22"/>
                <w:highlight w:val="none"/>
                <w:u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4B54F27A">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zh-CN" w:eastAsia="zh-CN"/>
              </w:rPr>
            </w:pPr>
            <w:r>
              <w:rPr>
                <w:rFonts w:hint="eastAsia" w:ascii="宋体" w:hAnsi="宋体" w:eastAsia="宋体" w:cs="宋体"/>
                <w:b w:val="0"/>
                <w:bCs w:val="0"/>
                <w:sz w:val="22"/>
                <w:szCs w:val="22"/>
                <w:lang w:val="zh-CN" w:eastAsia="zh-CN"/>
              </w:rPr>
              <w:t>安装调试和验收方案</w:t>
            </w:r>
          </w:p>
          <w:p w14:paraId="45F871DF">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zh-CN" w:eastAsia="zh-CN"/>
              </w:rPr>
            </w:pPr>
            <w:r>
              <w:rPr>
                <w:rFonts w:hint="eastAsia" w:ascii="宋体" w:hAnsi="宋体" w:eastAsia="宋体" w:cs="宋体"/>
                <w:b w:val="0"/>
                <w:bCs w:val="0"/>
                <w:sz w:val="22"/>
                <w:szCs w:val="22"/>
                <w:lang w:val="zh-CN" w:eastAsia="zh-CN"/>
              </w:rPr>
              <w:t>(</w:t>
            </w:r>
            <w:r>
              <w:rPr>
                <w:rFonts w:hint="eastAsia" w:ascii="宋体" w:hAnsi="宋体" w:eastAsia="宋体" w:cs="宋体"/>
                <w:b w:val="0"/>
                <w:bCs w:val="0"/>
                <w:sz w:val="22"/>
                <w:szCs w:val="22"/>
                <w:lang w:val="en-US" w:eastAsia="zh-CN"/>
              </w:rPr>
              <w:t>10.0</w:t>
            </w:r>
            <w:r>
              <w:rPr>
                <w:rFonts w:hint="eastAsia" w:ascii="宋体" w:hAnsi="宋体" w:eastAsia="宋体" w:cs="宋体"/>
                <w:b w:val="0"/>
                <w:bCs w:val="0"/>
                <w:sz w:val="22"/>
                <w:szCs w:val="22"/>
                <w:lang w:val="zh-CN" w:eastAsia="zh-CN"/>
              </w:rPr>
              <w:t>分)</w:t>
            </w:r>
          </w:p>
        </w:tc>
        <w:tc>
          <w:tcPr>
            <w:tcW w:w="2998" w:type="pct"/>
            <w:tcBorders>
              <w:left w:val="single" w:color="auto" w:sz="4" w:space="0"/>
            </w:tcBorders>
            <w:vAlign w:val="center"/>
          </w:tcPr>
          <w:p w14:paraId="5E412A44">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zh-CN" w:eastAsia="zh-CN"/>
              </w:rPr>
              <w:t>根据供应商提供的安装调试和验收方案（包括但不限于安装调试中的人员、流程、措施，验收流程等）进行评分：</w:t>
            </w:r>
          </w:p>
          <w:p w14:paraId="5F259FD5">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1.</w:t>
            </w:r>
            <w:r>
              <w:rPr>
                <w:rFonts w:hint="eastAsia" w:ascii="宋体" w:hAnsi="宋体" w:eastAsia="宋体" w:cs="宋体"/>
                <w:b w:val="0"/>
                <w:bCs w:val="0"/>
                <w:color w:val="auto"/>
                <w:spacing w:val="-3"/>
                <w:sz w:val="22"/>
                <w:szCs w:val="22"/>
                <w:highlight w:val="none"/>
                <w:u w:val="none"/>
                <w:lang w:val="zh-CN" w:eastAsia="zh-CN"/>
              </w:rPr>
              <w:t>方案非常全面详尽，安装调试人员、流程安排非常清晰合理，安装调试措施非常可靠，验收流程针对性非常高，得</w:t>
            </w:r>
            <w:r>
              <w:rPr>
                <w:rFonts w:hint="eastAsia" w:ascii="宋体" w:hAnsi="宋体" w:eastAsia="宋体" w:cs="宋体"/>
                <w:b w:val="0"/>
                <w:bCs w:val="0"/>
                <w:color w:val="auto"/>
                <w:spacing w:val="-3"/>
                <w:sz w:val="22"/>
                <w:szCs w:val="22"/>
                <w:highlight w:val="none"/>
                <w:u w:val="none"/>
                <w:lang w:val="en-US" w:eastAsia="zh-CN"/>
              </w:rPr>
              <w:t>10</w:t>
            </w:r>
            <w:r>
              <w:rPr>
                <w:rFonts w:hint="eastAsia" w:ascii="宋体" w:hAnsi="宋体" w:eastAsia="宋体" w:cs="宋体"/>
                <w:b w:val="0"/>
                <w:bCs w:val="0"/>
                <w:color w:val="auto"/>
                <w:spacing w:val="-3"/>
                <w:sz w:val="22"/>
                <w:szCs w:val="22"/>
                <w:highlight w:val="none"/>
                <w:u w:val="none"/>
                <w:lang w:val="zh-CN" w:eastAsia="zh-CN"/>
              </w:rPr>
              <w:t>分；</w:t>
            </w:r>
          </w:p>
          <w:p w14:paraId="1B367E1A">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2.</w:t>
            </w:r>
            <w:r>
              <w:rPr>
                <w:rFonts w:hint="eastAsia" w:ascii="宋体" w:hAnsi="宋体" w:eastAsia="宋体" w:cs="宋体"/>
                <w:b w:val="0"/>
                <w:bCs w:val="0"/>
                <w:color w:val="auto"/>
                <w:spacing w:val="-3"/>
                <w:sz w:val="22"/>
                <w:szCs w:val="22"/>
                <w:highlight w:val="none"/>
                <w:u w:val="none"/>
                <w:lang w:val="zh-CN" w:eastAsia="zh-CN"/>
              </w:rPr>
              <w:t>方案较全面详尽，安装调试人员、流程安排较清晰合理，安装调试措施较可靠，验收流程针对性较高，得</w:t>
            </w:r>
            <w:r>
              <w:rPr>
                <w:rFonts w:hint="eastAsia" w:ascii="宋体" w:hAnsi="宋体" w:eastAsia="宋体" w:cs="宋体"/>
                <w:b w:val="0"/>
                <w:bCs w:val="0"/>
                <w:color w:val="auto"/>
                <w:spacing w:val="-3"/>
                <w:sz w:val="22"/>
                <w:szCs w:val="22"/>
                <w:highlight w:val="none"/>
                <w:u w:val="none"/>
                <w:lang w:val="en-US" w:eastAsia="zh-CN"/>
              </w:rPr>
              <w:t>7</w:t>
            </w:r>
            <w:r>
              <w:rPr>
                <w:rFonts w:hint="eastAsia" w:ascii="宋体" w:hAnsi="宋体" w:eastAsia="宋体" w:cs="宋体"/>
                <w:b w:val="0"/>
                <w:bCs w:val="0"/>
                <w:color w:val="auto"/>
                <w:spacing w:val="-3"/>
                <w:sz w:val="22"/>
                <w:szCs w:val="22"/>
                <w:highlight w:val="none"/>
                <w:u w:val="none"/>
                <w:lang w:val="zh-CN" w:eastAsia="zh-CN"/>
              </w:rPr>
              <w:t>分；</w:t>
            </w:r>
          </w:p>
          <w:p w14:paraId="639C8F59">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3.</w:t>
            </w:r>
            <w:r>
              <w:rPr>
                <w:rFonts w:hint="eastAsia" w:ascii="宋体" w:hAnsi="宋体" w:eastAsia="宋体" w:cs="宋体"/>
                <w:b w:val="0"/>
                <w:bCs w:val="0"/>
                <w:color w:val="auto"/>
                <w:spacing w:val="-3"/>
                <w:sz w:val="22"/>
                <w:szCs w:val="22"/>
                <w:highlight w:val="none"/>
                <w:u w:val="none"/>
                <w:lang w:val="zh-CN" w:eastAsia="zh-CN"/>
              </w:rPr>
              <w:t>方案全面但不够详细，安装调试人员、流程安排合理性一般，安装调试措施可靠性一般，验收流程针对性一般，得</w:t>
            </w:r>
            <w:r>
              <w:rPr>
                <w:rFonts w:hint="eastAsia" w:ascii="宋体" w:hAnsi="宋体" w:eastAsia="宋体" w:cs="宋体"/>
                <w:b w:val="0"/>
                <w:bCs w:val="0"/>
                <w:color w:val="auto"/>
                <w:spacing w:val="-3"/>
                <w:sz w:val="22"/>
                <w:szCs w:val="22"/>
                <w:highlight w:val="none"/>
                <w:u w:val="none"/>
                <w:lang w:val="en-US" w:eastAsia="zh-CN"/>
              </w:rPr>
              <w:t>4</w:t>
            </w:r>
            <w:r>
              <w:rPr>
                <w:rFonts w:hint="eastAsia" w:ascii="宋体" w:hAnsi="宋体" w:eastAsia="宋体" w:cs="宋体"/>
                <w:b w:val="0"/>
                <w:bCs w:val="0"/>
                <w:color w:val="auto"/>
                <w:spacing w:val="-3"/>
                <w:sz w:val="22"/>
                <w:szCs w:val="22"/>
                <w:highlight w:val="none"/>
                <w:u w:val="none"/>
                <w:lang w:val="zh-CN" w:eastAsia="zh-CN"/>
              </w:rPr>
              <w:t>分；</w:t>
            </w:r>
          </w:p>
          <w:p w14:paraId="46EA03A0">
            <w:pPr>
              <w:keepNext w:val="0"/>
              <w:keepLines w:val="0"/>
              <w:pageBreakBefore w:val="0"/>
              <w:widowControl/>
              <w:numPr>
                <w:ilvl w:val="0"/>
                <w:numId w:val="0"/>
              </w:numPr>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4.</w:t>
            </w:r>
            <w:r>
              <w:rPr>
                <w:rFonts w:hint="eastAsia" w:ascii="宋体" w:hAnsi="宋体" w:eastAsia="宋体" w:cs="宋体"/>
                <w:b w:val="0"/>
                <w:bCs w:val="0"/>
                <w:color w:val="auto"/>
                <w:spacing w:val="-3"/>
                <w:sz w:val="22"/>
                <w:szCs w:val="22"/>
                <w:highlight w:val="none"/>
                <w:u w:val="none"/>
                <w:lang w:val="zh-CN" w:eastAsia="zh-CN"/>
              </w:rPr>
              <w:t>未按要求提供或其他的，不得分。</w:t>
            </w:r>
          </w:p>
        </w:tc>
        <w:tc>
          <w:tcPr>
            <w:tcW w:w="621" w:type="pct"/>
            <w:tcBorders>
              <w:left w:val="single" w:color="auto" w:sz="4" w:space="0"/>
            </w:tcBorders>
            <w:vAlign w:val="center"/>
          </w:tcPr>
          <w:p w14:paraId="7174331C">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7965F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380" w:type="pct"/>
            <w:vMerge w:val="continue"/>
            <w:tcBorders>
              <w:left w:val="single" w:color="auto" w:sz="4" w:space="0"/>
              <w:right w:val="single" w:color="auto" w:sz="4" w:space="0"/>
            </w:tcBorders>
            <w:vAlign w:val="center"/>
          </w:tcPr>
          <w:p w14:paraId="7B4F2361">
            <w:pPr>
              <w:jc w:val="center"/>
              <w:rPr>
                <w:rFonts w:hint="eastAsia" w:ascii="宋体" w:hAnsi="宋体" w:eastAsia="宋体" w:cs="宋体"/>
                <w:b w:val="0"/>
                <w:bCs w:val="0"/>
                <w:color w:val="auto"/>
                <w:sz w:val="22"/>
                <w:szCs w:val="22"/>
                <w:highlight w:val="none"/>
                <w:u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5654B40C">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zh-CN" w:eastAsia="zh-CN"/>
              </w:rPr>
            </w:pPr>
            <w:r>
              <w:rPr>
                <w:rFonts w:hint="eastAsia" w:ascii="宋体" w:hAnsi="宋体" w:eastAsia="宋体" w:cs="宋体"/>
                <w:b w:val="0"/>
                <w:bCs w:val="0"/>
                <w:sz w:val="22"/>
                <w:szCs w:val="22"/>
                <w:lang w:val="zh-CN" w:eastAsia="zh-CN"/>
              </w:rPr>
              <w:t xml:space="preserve">售后服务 </w:t>
            </w:r>
          </w:p>
          <w:p w14:paraId="442AEC43">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kern w:val="2"/>
                <w:sz w:val="22"/>
                <w:szCs w:val="22"/>
                <w:lang w:val="zh-CN" w:eastAsia="zh-CN" w:bidi="ar-SA"/>
              </w:rPr>
            </w:pPr>
            <w:r>
              <w:rPr>
                <w:rFonts w:hint="eastAsia" w:ascii="宋体" w:hAnsi="宋体" w:eastAsia="宋体" w:cs="宋体"/>
                <w:b w:val="0"/>
                <w:bCs w:val="0"/>
                <w:sz w:val="22"/>
                <w:szCs w:val="22"/>
                <w:lang w:val="zh-CN" w:eastAsia="zh-CN"/>
              </w:rPr>
              <w:t>(</w:t>
            </w:r>
            <w:r>
              <w:rPr>
                <w:rFonts w:hint="eastAsia" w:ascii="宋体" w:hAnsi="宋体" w:eastAsia="宋体" w:cs="宋体"/>
                <w:b w:val="0"/>
                <w:bCs w:val="0"/>
                <w:sz w:val="22"/>
                <w:szCs w:val="22"/>
                <w:lang w:val="en-US" w:eastAsia="zh-CN"/>
              </w:rPr>
              <w:t>6</w:t>
            </w:r>
            <w:r>
              <w:rPr>
                <w:rFonts w:hint="eastAsia" w:ascii="宋体" w:hAnsi="宋体" w:eastAsia="宋体" w:cs="宋体"/>
                <w:b w:val="0"/>
                <w:bCs w:val="0"/>
                <w:sz w:val="22"/>
                <w:szCs w:val="22"/>
                <w:lang w:val="zh-CN" w:eastAsia="zh-CN"/>
              </w:rPr>
              <w:t>.0分)</w:t>
            </w:r>
          </w:p>
        </w:tc>
        <w:tc>
          <w:tcPr>
            <w:tcW w:w="2998" w:type="pct"/>
            <w:tcBorders>
              <w:left w:val="single" w:color="auto" w:sz="4" w:space="0"/>
            </w:tcBorders>
            <w:vAlign w:val="center"/>
          </w:tcPr>
          <w:p w14:paraId="73269839">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zh-CN" w:eastAsia="zh-CN"/>
              </w:rPr>
              <w:t>根据供应商所提供的售后服务承诺（供应商服务承诺函、</w:t>
            </w:r>
            <w:r>
              <w:rPr>
                <w:rFonts w:hint="eastAsia" w:ascii="宋体" w:hAnsi="宋体" w:eastAsia="宋体" w:cs="宋体"/>
                <w:b w:val="0"/>
                <w:bCs w:val="0"/>
                <w:color w:val="auto"/>
                <w:spacing w:val="-3"/>
                <w:sz w:val="22"/>
                <w:szCs w:val="22"/>
                <w:highlight w:val="none"/>
                <w:u w:val="none"/>
                <w:lang w:val="en-US" w:eastAsia="zh-CN"/>
              </w:rPr>
              <w:t>质保</w:t>
            </w:r>
            <w:r>
              <w:rPr>
                <w:rFonts w:hint="eastAsia" w:ascii="宋体" w:hAnsi="宋体" w:eastAsia="宋体" w:cs="宋体"/>
                <w:b w:val="0"/>
                <w:bCs w:val="0"/>
                <w:color w:val="auto"/>
                <w:spacing w:val="-3"/>
                <w:sz w:val="22"/>
                <w:szCs w:val="22"/>
                <w:highlight w:val="none"/>
                <w:u w:val="none"/>
                <w:lang w:val="zh-CN" w:eastAsia="zh-CN"/>
              </w:rPr>
              <w:t>方案等）、售后服务响应时间、保修期等进行综合评审：</w:t>
            </w:r>
          </w:p>
          <w:p w14:paraId="3BEA8C48">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1.</w:t>
            </w:r>
            <w:r>
              <w:rPr>
                <w:rFonts w:hint="eastAsia" w:ascii="宋体" w:hAnsi="宋体" w:eastAsia="宋体" w:cs="宋体"/>
                <w:b w:val="0"/>
                <w:bCs w:val="0"/>
                <w:color w:val="auto"/>
                <w:spacing w:val="-3"/>
                <w:sz w:val="22"/>
                <w:szCs w:val="22"/>
                <w:highlight w:val="none"/>
                <w:u w:val="none"/>
                <w:lang w:val="zh-CN" w:eastAsia="zh-CN"/>
              </w:rPr>
              <w:t>对本项目有积极支持的态度，服务承诺明确且有较为实际的措施，得</w:t>
            </w:r>
            <w:r>
              <w:rPr>
                <w:rFonts w:hint="eastAsia" w:ascii="宋体" w:hAnsi="宋体" w:eastAsia="宋体" w:cs="宋体"/>
                <w:b w:val="0"/>
                <w:bCs w:val="0"/>
                <w:color w:val="auto"/>
                <w:spacing w:val="-3"/>
                <w:sz w:val="22"/>
                <w:szCs w:val="22"/>
                <w:highlight w:val="none"/>
                <w:u w:val="none"/>
                <w:lang w:val="en-US" w:eastAsia="zh-CN"/>
              </w:rPr>
              <w:t>6</w:t>
            </w:r>
            <w:r>
              <w:rPr>
                <w:rFonts w:hint="eastAsia" w:ascii="宋体" w:hAnsi="宋体" w:eastAsia="宋体" w:cs="宋体"/>
                <w:b w:val="0"/>
                <w:bCs w:val="0"/>
                <w:color w:val="auto"/>
                <w:spacing w:val="-3"/>
                <w:sz w:val="22"/>
                <w:szCs w:val="22"/>
                <w:highlight w:val="none"/>
                <w:u w:val="none"/>
                <w:lang w:val="zh-CN" w:eastAsia="zh-CN"/>
              </w:rPr>
              <w:t>分；</w:t>
            </w:r>
          </w:p>
          <w:p w14:paraId="7DE2F3B3">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2.</w:t>
            </w:r>
            <w:r>
              <w:rPr>
                <w:rFonts w:hint="eastAsia" w:ascii="宋体" w:hAnsi="宋体" w:eastAsia="宋体" w:cs="宋体"/>
                <w:b w:val="0"/>
                <w:bCs w:val="0"/>
                <w:color w:val="auto"/>
                <w:spacing w:val="-3"/>
                <w:sz w:val="22"/>
                <w:szCs w:val="22"/>
                <w:highlight w:val="none"/>
                <w:u w:val="none"/>
                <w:lang w:val="zh-CN" w:eastAsia="zh-CN"/>
              </w:rPr>
              <w:t>售后服务方案内容完整，可行性较强，得</w:t>
            </w:r>
            <w:r>
              <w:rPr>
                <w:rFonts w:hint="eastAsia" w:ascii="宋体" w:hAnsi="宋体" w:eastAsia="宋体" w:cs="宋体"/>
                <w:b w:val="0"/>
                <w:bCs w:val="0"/>
                <w:color w:val="auto"/>
                <w:spacing w:val="-3"/>
                <w:sz w:val="22"/>
                <w:szCs w:val="22"/>
                <w:highlight w:val="none"/>
                <w:u w:val="none"/>
                <w:lang w:val="en-US" w:eastAsia="zh-CN"/>
              </w:rPr>
              <w:t>4</w:t>
            </w:r>
            <w:r>
              <w:rPr>
                <w:rFonts w:hint="eastAsia" w:ascii="宋体" w:hAnsi="宋体" w:eastAsia="宋体" w:cs="宋体"/>
                <w:b w:val="0"/>
                <w:bCs w:val="0"/>
                <w:color w:val="auto"/>
                <w:spacing w:val="-3"/>
                <w:sz w:val="22"/>
                <w:szCs w:val="22"/>
                <w:highlight w:val="none"/>
                <w:u w:val="none"/>
                <w:lang w:val="zh-CN" w:eastAsia="zh-CN"/>
              </w:rPr>
              <w:t>分；</w:t>
            </w:r>
          </w:p>
          <w:p w14:paraId="38EA8ECC">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en-US" w:eastAsia="zh-CN"/>
              </w:rPr>
              <w:t>3.</w:t>
            </w:r>
            <w:r>
              <w:rPr>
                <w:rFonts w:hint="eastAsia" w:ascii="宋体" w:hAnsi="宋体" w:eastAsia="宋体" w:cs="宋体"/>
                <w:b w:val="0"/>
                <w:bCs w:val="0"/>
                <w:color w:val="auto"/>
                <w:spacing w:val="-3"/>
                <w:sz w:val="22"/>
                <w:szCs w:val="22"/>
                <w:highlight w:val="none"/>
                <w:u w:val="none"/>
                <w:lang w:val="zh-CN" w:eastAsia="zh-CN"/>
              </w:rPr>
              <w:t>服务承诺不明确或制度措施不够结合实际的，得</w:t>
            </w:r>
            <w:r>
              <w:rPr>
                <w:rFonts w:hint="eastAsia" w:ascii="宋体" w:hAnsi="宋体" w:eastAsia="宋体" w:cs="宋体"/>
                <w:b w:val="0"/>
                <w:bCs w:val="0"/>
                <w:color w:val="auto"/>
                <w:spacing w:val="-3"/>
                <w:sz w:val="22"/>
                <w:szCs w:val="22"/>
                <w:highlight w:val="none"/>
                <w:u w:val="none"/>
                <w:lang w:val="en-US" w:eastAsia="zh-CN"/>
              </w:rPr>
              <w:t>2</w:t>
            </w:r>
            <w:r>
              <w:rPr>
                <w:rFonts w:hint="eastAsia" w:ascii="宋体" w:hAnsi="宋体" w:eastAsia="宋体" w:cs="宋体"/>
                <w:b w:val="0"/>
                <w:bCs w:val="0"/>
                <w:color w:val="auto"/>
                <w:spacing w:val="-3"/>
                <w:sz w:val="22"/>
                <w:szCs w:val="22"/>
                <w:highlight w:val="none"/>
                <w:u w:val="none"/>
                <w:lang w:val="zh-CN" w:eastAsia="zh-CN"/>
              </w:rPr>
              <w:t>分；</w:t>
            </w:r>
          </w:p>
          <w:p w14:paraId="423EC4A4">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kern w:val="2"/>
                <w:sz w:val="22"/>
                <w:szCs w:val="22"/>
                <w:highlight w:val="none"/>
                <w:u w:val="none"/>
                <w:lang w:val="en-US" w:eastAsia="zh-CN" w:bidi="ar-SA"/>
              </w:rPr>
            </w:pPr>
            <w:r>
              <w:rPr>
                <w:rFonts w:hint="eastAsia" w:ascii="宋体" w:hAnsi="宋体" w:eastAsia="宋体" w:cs="宋体"/>
                <w:b w:val="0"/>
                <w:bCs w:val="0"/>
                <w:color w:val="auto"/>
                <w:spacing w:val="-3"/>
                <w:sz w:val="22"/>
                <w:szCs w:val="22"/>
                <w:highlight w:val="none"/>
                <w:u w:val="none"/>
                <w:lang w:val="en-US" w:eastAsia="zh-CN"/>
              </w:rPr>
              <w:t>4.</w:t>
            </w:r>
            <w:r>
              <w:rPr>
                <w:rFonts w:hint="eastAsia" w:ascii="宋体" w:hAnsi="宋体" w:eastAsia="宋体" w:cs="宋体"/>
                <w:b w:val="0"/>
                <w:bCs w:val="0"/>
                <w:color w:val="auto"/>
                <w:spacing w:val="-3"/>
                <w:sz w:val="22"/>
                <w:szCs w:val="22"/>
                <w:highlight w:val="none"/>
                <w:u w:val="none"/>
                <w:lang w:val="zh-CN" w:eastAsia="zh-CN"/>
              </w:rPr>
              <w:t>没有售后服务承诺，不得分。</w:t>
            </w:r>
          </w:p>
        </w:tc>
        <w:tc>
          <w:tcPr>
            <w:tcW w:w="621" w:type="pct"/>
            <w:tcBorders>
              <w:left w:val="single" w:color="auto" w:sz="4" w:space="0"/>
            </w:tcBorders>
            <w:vAlign w:val="center"/>
          </w:tcPr>
          <w:p w14:paraId="0ABD8D80">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73BCB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exact"/>
          <w:jc w:val="center"/>
        </w:trPr>
        <w:tc>
          <w:tcPr>
            <w:tcW w:w="380" w:type="pct"/>
            <w:vMerge w:val="continue"/>
            <w:tcBorders>
              <w:left w:val="single" w:color="auto" w:sz="4" w:space="0"/>
              <w:right w:val="single" w:color="auto" w:sz="4" w:space="0"/>
            </w:tcBorders>
            <w:vAlign w:val="center"/>
          </w:tcPr>
          <w:p w14:paraId="2C9EEDE3">
            <w:pPr>
              <w:jc w:val="center"/>
              <w:rPr>
                <w:rFonts w:hint="eastAsia" w:ascii="宋体" w:hAnsi="宋体" w:eastAsia="宋体" w:cs="宋体"/>
                <w:b w:val="0"/>
                <w:bCs w:val="0"/>
                <w:color w:val="auto"/>
                <w:sz w:val="22"/>
                <w:szCs w:val="22"/>
                <w:highlight w:val="none"/>
                <w:u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357E791F">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zh-CN" w:eastAsia="zh-CN"/>
              </w:rPr>
            </w:pPr>
            <w:r>
              <w:rPr>
                <w:rFonts w:hint="eastAsia" w:ascii="宋体" w:hAnsi="宋体" w:eastAsia="宋体" w:cs="宋体"/>
                <w:b w:val="0"/>
                <w:bCs w:val="0"/>
                <w:sz w:val="22"/>
                <w:szCs w:val="22"/>
                <w:lang w:val="zh-CN" w:eastAsia="zh-CN"/>
              </w:rPr>
              <w:t>业绩</w:t>
            </w:r>
          </w:p>
          <w:p w14:paraId="48CD317B">
            <w:pPr>
              <w:keepNext w:val="0"/>
              <w:keepLines w:val="0"/>
              <w:pageBreakBefore w:val="0"/>
              <w:widowControl/>
              <w:kinsoku/>
              <w:wordWrap/>
              <w:overflowPunct/>
              <w:topLinePunct w:val="0"/>
              <w:autoSpaceDE/>
              <w:autoSpaceDN/>
              <w:bidi w:val="0"/>
              <w:adjustRightInd/>
              <w:snapToGrid w:val="0"/>
              <w:spacing w:before="87" w:line="240" w:lineRule="auto"/>
              <w:ind w:left="0" w:leftChars="0" w:right="0" w:rightChars="0" w:firstLine="0" w:firstLineChars="0"/>
              <w:jc w:val="center"/>
              <w:textAlignment w:val="baseline"/>
              <w:rPr>
                <w:rFonts w:hint="eastAsia" w:ascii="宋体" w:hAnsi="宋体" w:eastAsia="宋体" w:cs="宋体"/>
                <w:b w:val="0"/>
                <w:bCs w:val="0"/>
                <w:sz w:val="22"/>
                <w:szCs w:val="22"/>
                <w:lang w:val="zh-CN" w:eastAsia="zh-CN"/>
              </w:rPr>
            </w:pPr>
            <w:r>
              <w:rPr>
                <w:rFonts w:hint="eastAsia" w:ascii="宋体" w:hAnsi="宋体" w:eastAsia="宋体" w:cs="宋体"/>
                <w:b w:val="0"/>
                <w:bCs w:val="0"/>
                <w:sz w:val="22"/>
                <w:szCs w:val="22"/>
                <w:lang w:val="zh-CN" w:eastAsia="zh-CN"/>
              </w:rPr>
              <w:t>(</w:t>
            </w:r>
            <w:r>
              <w:rPr>
                <w:rFonts w:hint="eastAsia" w:ascii="宋体" w:hAnsi="宋体" w:eastAsia="宋体" w:cs="宋体"/>
                <w:b w:val="0"/>
                <w:bCs w:val="0"/>
                <w:sz w:val="22"/>
                <w:szCs w:val="22"/>
                <w:lang w:val="en-US" w:eastAsia="zh-CN"/>
              </w:rPr>
              <w:t>9</w:t>
            </w:r>
            <w:r>
              <w:rPr>
                <w:rFonts w:hint="eastAsia" w:ascii="宋体" w:hAnsi="宋体" w:eastAsia="宋体" w:cs="宋体"/>
                <w:b w:val="0"/>
                <w:bCs w:val="0"/>
                <w:sz w:val="22"/>
                <w:szCs w:val="22"/>
                <w:lang w:val="zh-CN" w:eastAsia="zh-CN"/>
              </w:rPr>
              <w:t>.0分)</w:t>
            </w:r>
          </w:p>
        </w:tc>
        <w:tc>
          <w:tcPr>
            <w:tcW w:w="2998" w:type="pct"/>
            <w:tcBorders>
              <w:left w:val="single" w:color="auto" w:sz="4" w:space="0"/>
            </w:tcBorders>
            <w:vAlign w:val="center"/>
          </w:tcPr>
          <w:p w14:paraId="56EBA2A8">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color w:val="auto"/>
                <w:spacing w:val="-3"/>
                <w:sz w:val="22"/>
                <w:szCs w:val="22"/>
                <w:highlight w:val="none"/>
                <w:u w:val="none"/>
                <w:lang w:val="zh-CN" w:eastAsia="zh-CN"/>
              </w:rPr>
            </w:pPr>
            <w:r>
              <w:rPr>
                <w:rFonts w:hint="eastAsia" w:ascii="宋体" w:hAnsi="宋体" w:eastAsia="宋体" w:cs="宋体"/>
                <w:b w:val="0"/>
                <w:bCs w:val="0"/>
                <w:color w:val="auto"/>
                <w:spacing w:val="-3"/>
                <w:sz w:val="22"/>
                <w:szCs w:val="22"/>
                <w:highlight w:val="none"/>
                <w:u w:val="none"/>
                <w:lang w:val="zh-CN" w:eastAsia="zh-CN"/>
              </w:rPr>
              <w:t>供应商自202</w:t>
            </w:r>
            <w:r>
              <w:rPr>
                <w:rFonts w:hint="eastAsia" w:ascii="宋体" w:hAnsi="宋体" w:eastAsia="宋体" w:cs="宋体"/>
                <w:b w:val="0"/>
                <w:bCs w:val="0"/>
                <w:color w:val="auto"/>
                <w:spacing w:val="-3"/>
                <w:sz w:val="22"/>
                <w:szCs w:val="22"/>
                <w:highlight w:val="none"/>
                <w:u w:val="none"/>
                <w:lang w:val="en-US" w:eastAsia="zh-CN"/>
              </w:rPr>
              <w:t>3</w:t>
            </w:r>
            <w:r>
              <w:rPr>
                <w:rFonts w:hint="eastAsia" w:ascii="宋体" w:hAnsi="宋体" w:eastAsia="宋体" w:cs="宋体"/>
                <w:b w:val="0"/>
                <w:bCs w:val="0"/>
                <w:color w:val="auto"/>
                <w:spacing w:val="-3"/>
                <w:sz w:val="22"/>
                <w:szCs w:val="22"/>
                <w:highlight w:val="none"/>
                <w:u w:val="none"/>
                <w:lang w:val="zh-CN" w:eastAsia="zh-CN"/>
              </w:rPr>
              <w:t>年1月1日以来（以签订合同时间为准）具有同类项目的业绩，提供有效业绩一项得</w:t>
            </w:r>
            <w:r>
              <w:rPr>
                <w:rFonts w:hint="eastAsia" w:ascii="宋体" w:hAnsi="宋体" w:eastAsia="宋体" w:cs="宋体"/>
                <w:b w:val="0"/>
                <w:bCs w:val="0"/>
                <w:color w:val="auto"/>
                <w:spacing w:val="-3"/>
                <w:sz w:val="22"/>
                <w:szCs w:val="22"/>
                <w:highlight w:val="none"/>
                <w:u w:val="none"/>
                <w:lang w:val="en-US" w:eastAsia="zh-CN"/>
              </w:rPr>
              <w:t>3</w:t>
            </w:r>
            <w:r>
              <w:rPr>
                <w:rFonts w:hint="eastAsia" w:ascii="宋体" w:hAnsi="宋体" w:eastAsia="宋体" w:cs="宋体"/>
                <w:b w:val="0"/>
                <w:bCs w:val="0"/>
                <w:color w:val="auto"/>
                <w:spacing w:val="-3"/>
                <w:sz w:val="22"/>
                <w:szCs w:val="22"/>
                <w:highlight w:val="none"/>
                <w:u w:val="none"/>
                <w:lang w:val="zh-CN" w:eastAsia="zh-CN"/>
              </w:rPr>
              <w:t>分，本项最高得</w:t>
            </w:r>
            <w:r>
              <w:rPr>
                <w:rFonts w:hint="eastAsia" w:ascii="宋体" w:hAnsi="宋体" w:eastAsia="宋体" w:cs="宋体"/>
                <w:b w:val="0"/>
                <w:bCs w:val="0"/>
                <w:color w:val="auto"/>
                <w:spacing w:val="-3"/>
                <w:sz w:val="22"/>
                <w:szCs w:val="22"/>
                <w:highlight w:val="none"/>
                <w:u w:val="none"/>
                <w:lang w:val="en-US" w:eastAsia="zh-CN"/>
              </w:rPr>
              <w:t>9</w:t>
            </w:r>
            <w:r>
              <w:rPr>
                <w:rFonts w:hint="eastAsia" w:ascii="宋体" w:hAnsi="宋体" w:eastAsia="宋体" w:cs="宋体"/>
                <w:b w:val="0"/>
                <w:bCs w:val="0"/>
                <w:color w:val="auto"/>
                <w:spacing w:val="-3"/>
                <w:sz w:val="22"/>
                <w:szCs w:val="22"/>
                <w:highlight w:val="none"/>
                <w:u w:val="none"/>
                <w:lang w:val="zh-CN" w:eastAsia="zh-CN"/>
              </w:rPr>
              <w:t>分，未提供不得分。（须提供采购合同关键页复印件并加盖供应商公章）</w:t>
            </w:r>
          </w:p>
        </w:tc>
        <w:tc>
          <w:tcPr>
            <w:tcW w:w="621" w:type="pct"/>
            <w:tcBorders>
              <w:left w:val="single" w:color="auto" w:sz="4" w:space="0"/>
            </w:tcBorders>
            <w:vAlign w:val="center"/>
          </w:tcPr>
          <w:p w14:paraId="6B81EA4C">
            <w:pPr>
              <w:spacing w:before="87" w:line="316" w:lineRule="auto"/>
              <w:ind w:left="102" w:leftChars="0" w:right="182" w:rightChars="0"/>
              <w:jc w:val="center"/>
              <w:rPr>
                <w:rFonts w:hint="eastAsia" w:ascii="宋体" w:hAnsi="宋体" w:eastAsia="宋体" w:cs="宋体"/>
                <w:b w:val="0"/>
                <w:bCs w:val="0"/>
                <w:color w:val="auto"/>
                <w:spacing w:val="-2"/>
                <w:sz w:val="22"/>
                <w:szCs w:val="22"/>
                <w:highlight w:val="none"/>
                <w:u w:val="none"/>
                <w:lang w:eastAsia="zh-CN"/>
              </w:rPr>
            </w:pPr>
          </w:p>
        </w:tc>
      </w:tr>
      <w:tr w14:paraId="7733E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2" w:hRule="atLeast"/>
          <w:jc w:val="center"/>
        </w:trPr>
        <w:tc>
          <w:tcPr>
            <w:tcW w:w="380" w:type="pct"/>
            <w:vAlign w:val="center"/>
          </w:tcPr>
          <w:p w14:paraId="19CD460D">
            <w:pPr>
              <w:spacing w:before="88" w:line="328" w:lineRule="auto"/>
              <w:ind w:left="0" w:leftChars="0" w:right="155" w:firstLine="0" w:firstLineChars="0"/>
              <w:jc w:val="center"/>
              <w:rPr>
                <w:rFonts w:hint="eastAsia" w:ascii="宋体" w:hAnsi="宋体" w:eastAsia="宋体" w:cs="宋体"/>
                <w:b w:val="0"/>
                <w:bCs w:val="0"/>
                <w:color w:val="auto"/>
                <w:spacing w:val="-3"/>
                <w:sz w:val="22"/>
                <w:szCs w:val="22"/>
                <w:highlight w:val="none"/>
                <w:u w:val="none"/>
                <w:lang w:eastAsia="zh-CN"/>
              </w:rPr>
            </w:pPr>
            <w:r>
              <w:rPr>
                <w:rFonts w:hint="eastAsia" w:ascii="宋体" w:hAnsi="宋体" w:eastAsia="宋体" w:cs="宋体"/>
                <w:b w:val="0"/>
                <w:bCs w:val="0"/>
                <w:color w:val="auto"/>
                <w:spacing w:val="-3"/>
                <w:sz w:val="22"/>
                <w:szCs w:val="22"/>
                <w:highlight w:val="none"/>
                <w:u w:val="none"/>
                <w:lang w:eastAsia="zh-CN"/>
              </w:rPr>
              <w:t>报价</w:t>
            </w:r>
          </w:p>
        </w:tc>
        <w:tc>
          <w:tcPr>
            <w:tcW w:w="1000" w:type="pct"/>
            <w:vAlign w:val="center"/>
          </w:tcPr>
          <w:p w14:paraId="31042A83">
            <w:pPr>
              <w:spacing w:before="88" w:line="328" w:lineRule="auto"/>
              <w:ind w:left="0" w:leftChars="0" w:right="155" w:firstLine="0" w:firstLineChars="0"/>
              <w:jc w:val="center"/>
              <w:rPr>
                <w:rFonts w:hint="eastAsia" w:ascii="宋体" w:hAnsi="宋体" w:eastAsia="宋体" w:cs="宋体"/>
                <w:b w:val="0"/>
                <w:bCs w:val="0"/>
                <w:color w:val="auto"/>
                <w:spacing w:val="-3"/>
                <w:sz w:val="22"/>
                <w:szCs w:val="22"/>
                <w:highlight w:val="none"/>
                <w:u w:val="none"/>
                <w:lang w:eastAsia="zh-CN"/>
              </w:rPr>
            </w:pPr>
            <w:r>
              <w:rPr>
                <w:rFonts w:hint="eastAsia" w:ascii="宋体" w:hAnsi="宋体" w:eastAsia="宋体" w:cs="宋体"/>
                <w:b w:val="0"/>
                <w:bCs w:val="0"/>
                <w:color w:val="auto"/>
                <w:spacing w:val="-3"/>
                <w:sz w:val="22"/>
                <w:szCs w:val="22"/>
                <w:highlight w:val="none"/>
                <w:u w:val="none"/>
                <w:lang w:eastAsia="zh-CN"/>
              </w:rPr>
              <w:t>报价得分</w:t>
            </w:r>
          </w:p>
          <w:p w14:paraId="51F68A98">
            <w:pPr>
              <w:spacing w:before="88" w:line="328" w:lineRule="auto"/>
              <w:ind w:left="0" w:leftChars="0" w:right="155" w:firstLine="0" w:firstLineChars="0"/>
              <w:jc w:val="center"/>
              <w:rPr>
                <w:rFonts w:hint="eastAsia" w:ascii="宋体" w:hAnsi="宋体" w:eastAsia="宋体" w:cs="宋体"/>
                <w:b w:val="0"/>
                <w:bCs w:val="0"/>
                <w:color w:val="auto"/>
                <w:spacing w:val="-3"/>
                <w:sz w:val="22"/>
                <w:szCs w:val="22"/>
                <w:highlight w:val="none"/>
                <w:u w:val="none"/>
                <w:lang w:eastAsia="zh-CN"/>
              </w:rPr>
            </w:pPr>
            <w:r>
              <w:rPr>
                <w:rFonts w:hint="eastAsia" w:ascii="宋体" w:hAnsi="宋体" w:eastAsia="宋体" w:cs="宋体"/>
                <w:b w:val="0"/>
                <w:bCs w:val="0"/>
                <w:color w:val="auto"/>
                <w:spacing w:val="-3"/>
                <w:sz w:val="22"/>
                <w:szCs w:val="22"/>
                <w:highlight w:val="none"/>
                <w:u w:val="none"/>
                <w:lang w:eastAsia="zh-CN"/>
              </w:rPr>
              <w:t>(</w:t>
            </w:r>
            <w:r>
              <w:rPr>
                <w:rFonts w:hint="eastAsia" w:ascii="宋体" w:hAnsi="宋体" w:eastAsia="宋体" w:cs="宋体"/>
                <w:b w:val="0"/>
                <w:bCs w:val="0"/>
                <w:color w:val="auto"/>
                <w:spacing w:val="-3"/>
                <w:sz w:val="22"/>
                <w:szCs w:val="22"/>
                <w:highlight w:val="none"/>
                <w:u w:val="none"/>
                <w:lang w:val="en-US" w:eastAsia="zh-CN"/>
              </w:rPr>
              <w:t>40</w:t>
            </w:r>
            <w:r>
              <w:rPr>
                <w:rFonts w:hint="eastAsia" w:ascii="宋体" w:hAnsi="宋体" w:eastAsia="宋体" w:cs="宋体"/>
                <w:b w:val="0"/>
                <w:bCs w:val="0"/>
                <w:color w:val="auto"/>
                <w:spacing w:val="-3"/>
                <w:sz w:val="22"/>
                <w:szCs w:val="22"/>
                <w:highlight w:val="none"/>
                <w:u w:val="none"/>
                <w:lang w:eastAsia="zh-CN"/>
              </w:rPr>
              <w:t>.0分)</w:t>
            </w:r>
          </w:p>
        </w:tc>
        <w:tc>
          <w:tcPr>
            <w:tcW w:w="2998" w:type="pct"/>
            <w:vAlign w:val="center"/>
          </w:tcPr>
          <w:p w14:paraId="663FF722">
            <w:pPr>
              <w:keepNext w:val="0"/>
              <w:keepLines w:val="0"/>
              <w:pageBreakBefore w:val="0"/>
              <w:widowControl/>
              <w:kinsoku/>
              <w:wordWrap/>
              <w:overflowPunct/>
              <w:topLinePunct w:val="0"/>
              <w:autoSpaceDE/>
              <w:autoSpaceDN/>
              <w:bidi w:val="0"/>
              <w:adjustRightInd/>
              <w:snapToGrid w:val="0"/>
              <w:spacing w:line="288" w:lineRule="auto"/>
              <w:ind w:left="140" w:leftChars="50" w:right="140" w:rightChars="50" w:firstLine="0" w:firstLineChars="0"/>
              <w:jc w:val="both"/>
              <w:textAlignment w:val="baseline"/>
              <w:rPr>
                <w:rFonts w:hint="eastAsia" w:ascii="宋体" w:hAnsi="宋体" w:eastAsia="宋体" w:cs="宋体"/>
                <w:b w:val="0"/>
                <w:bCs w:val="0"/>
                <w:sz w:val="22"/>
                <w:szCs w:val="22"/>
                <w:lang w:eastAsia="zh-CN"/>
              </w:rPr>
            </w:pPr>
            <w:r>
              <w:rPr>
                <w:rFonts w:hint="eastAsia" w:ascii="宋体" w:hAnsi="宋体" w:eastAsia="宋体" w:cs="宋体"/>
                <w:b w:val="0"/>
                <w:bCs w:val="0"/>
                <w:i w:val="0"/>
                <w:iCs w:val="0"/>
                <w:color w:val="000000"/>
                <w:kern w:val="0"/>
                <w:sz w:val="24"/>
                <w:szCs w:val="24"/>
                <w:u w:val="none"/>
                <w:lang w:val="en-US" w:eastAsia="zh-CN" w:bidi="ar"/>
              </w:rPr>
              <w:t>满足招标文件要求，以投标下浮率最高投标的下浮率为评标基准率，其价格得分为满分。其他投标人的价格得分统一按照以下公式计算：投标报价得分=(1-评标基准率/1-投标下浮率)×40。</w:t>
            </w:r>
          </w:p>
        </w:tc>
        <w:tc>
          <w:tcPr>
            <w:tcW w:w="621" w:type="pct"/>
            <w:vAlign w:val="center"/>
          </w:tcPr>
          <w:p w14:paraId="2523845D">
            <w:pPr>
              <w:spacing w:before="88" w:line="328" w:lineRule="auto"/>
              <w:ind w:left="103" w:right="155" w:firstLine="2"/>
              <w:jc w:val="left"/>
              <w:rPr>
                <w:rFonts w:hint="eastAsia" w:ascii="宋体" w:hAnsi="宋体" w:eastAsia="宋体" w:cs="宋体"/>
                <w:b w:val="0"/>
                <w:bCs w:val="0"/>
                <w:color w:val="auto"/>
                <w:spacing w:val="-3"/>
                <w:sz w:val="22"/>
                <w:szCs w:val="22"/>
                <w:highlight w:val="none"/>
                <w:u w:val="none"/>
                <w:lang w:eastAsia="zh-CN"/>
              </w:rPr>
            </w:pPr>
          </w:p>
        </w:tc>
      </w:tr>
    </w:tbl>
    <w:p w14:paraId="6D49C7EB"/>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A0023976-CD79-4E5D-B2B5-4B975B02B0F4}"/>
  </w:font>
  <w:font w:name="方正仿宋_GB2312">
    <w:panose1 w:val="02000000000000000000"/>
    <w:charset w:val="86"/>
    <w:family w:val="auto"/>
    <w:pitch w:val="default"/>
    <w:sig w:usb0="A00002BF" w:usb1="184F6CFA" w:usb2="00000012" w:usb3="00000000" w:csb0="00040001" w:csb1="00000000"/>
    <w:embedRegular r:id="rId2" w:fontKey="{15384FA5-A135-4804-956F-9107A4E3086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pStyle w:val="4"/>
      <w:lvlText w:val="%1."/>
      <w:lvlJc w:val="left"/>
      <w:pPr>
        <w:tabs>
          <w:tab w:val="left" w:pos="0"/>
        </w:tabs>
        <w:ind w:left="0" w:leftChars="0" w:firstLine="0" w:firstLineChars="0"/>
      </w:pPr>
      <w:rPr>
        <w:rFonts w:hint="default"/>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6F1FAD"/>
    <w:rsid w:val="0622059D"/>
    <w:rsid w:val="14861FBB"/>
    <w:rsid w:val="22D24584"/>
    <w:rsid w:val="454113CA"/>
    <w:rsid w:val="5635357E"/>
    <w:rsid w:val="56384123"/>
    <w:rsid w:val="777C4360"/>
    <w:rsid w:val="7F6F1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napToGrid w:val="0"/>
      <w:spacing w:line="360" w:lineRule="auto"/>
      <w:ind w:firstLine="1040" w:firstLineChars="200"/>
      <w:jc w:val="left"/>
      <w:textAlignment w:val="baseline"/>
    </w:pPr>
    <w:rPr>
      <w:rFonts w:ascii="Times New Roman" w:hAnsi="Times New Roman" w:eastAsia="方正仿宋_GB2312" w:cs="宋体"/>
      <w:kern w:val="2"/>
      <w:sz w:val="28"/>
      <w:szCs w:val="24"/>
      <w:lang w:val="en-US" w:eastAsia="zh-CN" w:bidi="ar-SA"/>
    </w:rPr>
  </w:style>
  <w:style w:type="paragraph" w:styleId="4">
    <w:name w:val="heading 3"/>
    <w:basedOn w:val="1"/>
    <w:next w:val="1"/>
    <w:qFormat/>
    <w:uiPriority w:val="0"/>
    <w:pPr>
      <w:keepNext/>
      <w:keepLines/>
      <w:numPr>
        <w:ilvl w:val="0"/>
        <w:numId w:val="1"/>
      </w:numPr>
      <w:spacing w:beforeAutospacing="0" w:afterAutospacing="0" w:line="360" w:lineRule="auto"/>
      <w:ind w:left="490" w:leftChars="175" w:firstLine="0" w:firstLineChars="0"/>
      <w:outlineLvl w:val="2"/>
    </w:pPr>
    <w:rPr>
      <w:b/>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3"/>
    <w:next w:val="1"/>
    <w:qFormat/>
    <w:uiPriority w:val="0"/>
    <w:pPr>
      <w:spacing w:after="60" w:line="360" w:lineRule="auto"/>
      <w:ind w:firstLine="1044" w:firstLineChars="200"/>
    </w:pPr>
    <w:rPr>
      <w:rFonts w:ascii="Calibri" w:hAnsi="Calibri"/>
      <w:sz w:val="28"/>
    </w:rPr>
  </w:style>
  <w:style w:type="paragraph" w:styleId="3">
    <w:name w:val="Body Text"/>
    <w:basedOn w:val="1"/>
    <w:next w:val="1"/>
    <w:qFormat/>
    <w:uiPriority w:val="0"/>
    <w:pPr>
      <w:snapToGrid w:val="0"/>
      <w:spacing w:before="25" w:beforeLines="25" w:after="25" w:afterLines="25" w:line="240" w:lineRule="auto"/>
      <w:ind w:firstLine="0" w:firstLineChars="0"/>
      <w:jc w:val="center"/>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qFormat/>
    <w:uiPriority w:val="0"/>
    <w:tblPr>
      <w:tblCellMar>
        <w:top w:w="0" w:type="dxa"/>
        <w:left w:w="0" w:type="dxa"/>
        <w:bottom w:w="0" w:type="dxa"/>
        <w:right w:w="0" w:type="dxa"/>
      </w:tblCellMar>
    </w:tblPr>
  </w:style>
  <w:style w:type="character" w:customStyle="1" w:styleId="9">
    <w:name w:val="font31"/>
    <w:basedOn w:val="7"/>
    <w:qFormat/>
    <w:uiPriority w:val="0"/>
    <w:rPr>
      <w:rFonts w:hint="eastAsia" w:ascii="宋体" w:hAnsi="宋体" w:eastAsia="宋体" w:cs="宋体"/>
      <w:b/>
      <w:bCs/>
      <w:color w:val="FF0000"/>
      <w:sz w:val="24"/>
      <w:szCs w:val="24"/>
      <w:u w:val="none"/>
    </w:rPr>
  </w:style>
  <w:style w:type="character" w:customStyle="1" w:styleId="10">
    <w:name w:val="font01"/>
    <w:basedOn w:val="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32</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2025-02-25T08:51:00Z</dcterms:created>
  <dc:creator>高俊</dc:creator>
  <cp:lastModifiedBy>高俊</cp:lastModifiedBy>
  <dcterms:modified xsi:type="dcterms:W3CDTF">2025-02-26T02:52:52Z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A5F1CFA4E2C548C8B76A987CAB2471A5_13</vt:lpwstr>
  </property>
  <property fmtid="{D5CDD505-2E9C-101B-9397-08002B2CF9AE}" pid="4" name="KSOTemplateDocerSaveRecord">
    <vt:lpwstr>eyJoZGlkIjoiYzAxOWE5NjRiMGJjMDZkY2EzODk2YjFlMTI3ODAwMTIiLCJ1c2VySWQiOiI0ODM2MjAzNDMifQ==</vt:lpwstr>
  </property>
</Properties>
</file>